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314" w:type="dxa"/>
        <w:tblLook w:val="04A0" w:firstRow="1" w:lastRow="0" w:firstColumn="1" w:lastColumn="0" w:noHBand="0" w:noVBand="1"/>
      </w:tblPr>
      <w:tblGrid>
        <w:gridCol w:w="665"/>
        <w:gridCol w:w="1943"/>
        <w:gridCol w:w="2410"/>
        <w:gridCol w:w="5296"/>
      </w:tblGrid>
      <w:tr w:rsidR="002F45CD" w:rsidRPr="002F45CD" w14:paraId="4227F3DD" w14:textId="77777777" w:rsidTr="0081225E">
        <w:trPr>
          <w:cantSplit/>
        </w:trPr>
        <w:tc>
          <w:tcPr>
            <w:tcW w:w="665" w:type="dxa"/>
            <w:tcMar>
              <w:top w:w="170" w:type="dxa"/>
              <w:left w:w="57" w:type="dxa"/>
              <w:bottom w:w="170" w:type="dxa"/>
              <w:right w:w="57" w:type="dxa"/>
            </w:tcMar>
          </w:tcPr>
          <w:p w14:paraId="6F127945" w14:textId="77777777" w:rsidR="002F45CD" w:rsidRPr="002F45CD" w:rsidRDefault="002F45CD" w:rsidP="0081225E">
            <w:pPr>
              <w:bidi/>
              <w:ind w:firstLine="0"/>
              <w:rPr>
                <w:rFonts w:cs="Simplified Arabic"/>
                <w:sz w:val="28"/>
                <w:szCs w:val="28"/>
              </w:rPr>
            </w:pPr>
            <w:r w:rsidRPr="002F45CD">
              <w:rPr>
                <w:rFonts w:cs="Simplified Arabic" w:hint="cs"/>
                <w:sz w:val="28"/>
                <w:szCs w:val="28"/>
                <w:rtl/>
              </w:rPr>
              <w:t>13</w:t>
            </w:r>
          </w:p>
        </w:tc>
        <w:tc>
          <w:tcPr>
            <w:tcW w:w="1943" w:type="dxa"/>
            <w:tcMar>
              <w:top w:w="170" w:type="dxa"/>
              <w:left w:w="57" w:type="dxa"/>
              <w:bottom w:w="170" w:type="dxa"/>
              <w:right w:w="57" w:type="dxa"/>
            </w:tcMar>
          </w:tcPr>
          <w:p w14:paraId="32C33A36" w14:textId="77777777" w:rsidR="002F45CD" w:rsidRPr="002F45CD" w:rsidRDefault="002F45CD" w:rsidP="0081225E">
            <w:pPr>
              <w:bidi/>
              <w:ind w:firstLine="0"/>
              <w:rPr>
                <w:rFonts w:cs="Simplified Arabic"/>
                <w:sz w:val="28"/>
                <w:szCs w:val="28"/>
                <w:rtl/>
              </w:rPr>
            </w:pPr>
            <w:r w:rsidRPr="002F45CD">
              <w:rPr>
                <w:rFonts w:cs="Simplified Arabic" w:hint="cs"/>
                <w:sz w:val="28"/>
                <w:szCs w:val="28"/>
                <w:rtl/>
              </w:rPr>
              <w:t>الشركة المختلطة</w:t>
            </w:r>
          </w:p>
        </w:tc>
        <w:tc>
          <w:tcPr>
            <w:tcW w:w="2410" w:type="dxa"/>
            <w:tcMar>
              <w:top w:w="170" w:type="dxa"/>
              <w:left w:w="113" w:type="dxa"/>
              <w:bottom w:w="170" w:type="dxa"/>
              <w:right w:w="113" w:type="dxa"/>
            </w:tcMar>
          </w:tcPr>
          <w:p w14:paraId="069D040F" w14:textId="77777777" w:rsidR="002F45CD" w:rsidRPr="002F45CD" w:rsidRDefault="002F45CD" w:rsidP="0081225E">
            <w:pPr>
              <w:ind w:firstLine="0"/>
              <w:rPr>
                <w:rFonts w:cs="Simplified Arabic"/>
                <w:sz w:val="28"/>
                <w:szCs w:val="28"/>
                <w:highlight w:val="yellow"/>
                <w:rtl/>
              </w:rPr>
            </w:pPr>
            <w:r w:rsidRPr="002F45CD">
              <w:rPr>
                <w:rFonts w:cs="Simplified Arabic"/>
                <w:sz w:val="28"/>
                <w:szCs w:val="28"/>
              </w:rPr>
              <w:t>Société Mixte</w:t>
            </w:r>
          </w:p>
        </w:tc>
        <w:tc>
          <w:tcPr>
            <w:tcW w:w="5296" w:type="dxa"/>
            <w:tcMar>
              <w:top w:w="170" w:type="dxa"/>
              <w:left w:w="57" w:type="dxa"/>
              <w:bottom w:w="170" w:type="dxa"/>
              <w:right w:w="57" w:type="dxa"/>
            </w:tcMar>
          </w:tcPr>
          <w:p w14:paraId="50B17024" w14:textId="77777777" w:rsidR="002F45CD" w:rsidRPr="002F45CD" w:rsidRDefault="002F45CD" w:rsidP="0081225E">
            <w:pPr>
              <w:bidi/>
              <w:ind w:firstLine="0"/>
              <w:rPr>
                <w:rFonts w:cs="Simplified Arabic"/>
                <w:sz w:val="28"/>
                <w:szCs w:val="28"/>
                <w:rtl/>
              </w:rPr>
            </w:pPr>
            <w:r w:rsidRPr="002F45CD">
              <w:rPr>
                <w:rFonts w:cs="Simplified Arabic"/>
                <w:sz w:val="28"/>
                <w:szCs w:val="28"/>
                <w:rtl/>
              </w:rPr>
              <w:t xml:space="preserve">هي الشركات التي تقوم على الإعتبار المالي </w:t>
            </w:r>
            <w:r w:rsidRPr="002F45CD">
              <w:rPr>
                <w:rFonts w:cs="Simplified Arabic" w:hint="cs"/>
                <w:sz w:val="28"/>
                <w:szCs w:val="28"/>
                <w:rtl/>
              </w:rPr>
              <w:t>والاعتبار</w:t>
            </w:r>
            <w:r w:rsidRPr="002F45CD">
              <w:rPr>
                <w:rFonts w:cs="Simplified Arabic"/>
                <w:sz w:val="28"/>
                <w:szCs w:val="28"/>
                <w:rtl/>
              </w:rPr>
              <w:t xml:space="preserve"> الشخصي في نفس الوقت وبالتالي فهي تجمع بين خصائص شركات الأموال وشركات الأشخاص.</w:t>
            </w:r>
          </w:p>
        </w:tc>
      </w:tr>
      <w:tr w:rsidR="002F45CD" w:rsidRPr="002F45CD" w14:paraId="28DFF864" w14:textId="77777777" w:rsidTr="0081225E">
        <w:trPr>
          <w:cantSplit/>
        </w:trPr>
        <w:tc>
          <w:tcPr>
            <w:tcW w:w="665" w:type="dxa"/>
            <w:tcMar>
              <w:top w:w="170" w:type="dxa"/>
              <w:left w:w="57" w:type="dxa"/>
              <w:bottom w:w="170" w:type="dxa"/>
              <w:right w:w="57" w:type="dxa"/>
            </w:tcMar>
          </w:tcPr>
          <w:p w14:paraId="11C33683" w14:textId="77777777" w:rsidR="002F45CD" w:rsidRPr="002F45CD" w:rsidRDefault="002F45CD" w:rsidP="0081225E">
            <w:pPr>
              <w:bidi/>
              <w:ind w:firstLine="0"/>
              <w:rPr>
                <w:rFonts w:cs="Simplified Arabic"/>
                <w:sz w:val="28"/>
                <w:szCs w:val="28"/>
              </w:rPr>
            </w:pPr>
            <w:r w:rsidRPr="002F45CD">
              <w:rPr>
                <w:rFonts w:cs="Simplified Arabic" w:hint="cs"/>
                <w:sz w:val="28"/>
                <w:szCs w:val="28"/>
                <w:rtl/>
              </w:rPr>
              <w:t>14</w:t>
            </w:r>
          </w:p>
        </w:tc>
        <w:tc>
          <w:tcPr>
            <w:tcW w:w="1943" w:type="dxa"/>
            <w:tcMar>
              <w:top w:w="170" w:type="dxa"/>
              <w:left w:w="57" w:type="dxa"/>
              <w:bottom w:w="170" w:type="dxa"/>
              <w:right w:w="57" w:type="dxa"/>
            </w:tcMar>
          </w:tcPr>
          <w:p w14:paraId="090EEF2C" w14:textId="77777777" w:rsidR="002F45CD" w:rsidRPr="002F45CD" w:rsidRDefault="002F45CD" w:rsidP="0081225E">
            <w:pPr>
              <w:bidi/>
              <w:ind w:firstLine="0"/>
              <w:rPr>
                <w:rFonts w:cs="Simplified Arabic"/>
                <w:sz w:val="28"/>
                <w:szCs w:val="28"/>
                <w:rtl/>
              </w:rPr>
            </w:pPr>
            <w:r w:rsidRPr="002F45CD">
              <w:rPr>
                <w:rFonts w:cs="Simplified Arabic" w:hint="cs"/>
                <w:sz w:val="28"/>
                <w:szCs w:val="28"/>
                <w:rtl/>
              </w:rPr>
              <w:t>شركة التضامن</w:t>
            </w:r>
          </w:p>
        </w:tc>
        <w:tc>
          <w:tcPr>
            <w:tcW w:w="2410" w:type="dxa"/>
            <w:tcMar>
              <w:top w:w="170" w:type="dxa"/>
              <w:left w:w="113" w:type="dxa"/>
              <w:bottom w:w="170" w:type="dxa"/>
              <w:right w:w="113" w:type="dxa"/>
            </w:tcMar>
          </w:tcPr>
          <w:p w14:paraId="1CFA2B93" w14:textId="77777777" w:rsidR="002F45CD" w:rsidRPr="002F45CD" w:rsidRDefault="002F45CD" w:rsidP="0081225E">
            <w:pPr>
              <w:ind w:firstLine="0"/>
              <w:rPr>
                <w:rFonts w:cs="Simplified Arabic"/>
                <w:sz w:val="28"/>
                <w:szCs w:val="28"/>
                <w:highlight w:val="yellow"/>
                <w:rtl/>
              </w:rPr>
            </w:pPr>
            <w:r w:rsidRPr="002F45CD">
              <w:rPr>
                <w:rFonts w:cs="Simplified Arabic"/>
                <w:sz w:val="28"/>
                <w:szCs w:val="28"/>
              </w:rPr>
              <w:t>Société en nom Collectif</w:t>
            </w:r>
          </w:p>
        </w:tc>
        <w:tc>
          <w:tcPr>
            <w:tcW w:w="5296" w:type="dxa"/>
            <w:tcMar>
              <w:top w:w="170" w:type="dxa"/>
              <w:left w:w="57" w:type="dxa"/>
              <w:bottom w:w="170" w:type="dxa"/>
              <w:right w:w="57" w:type="dxa"/>
            </w:tcMar>
          </w:tcPr>
          <w:p w14:paraId="44666FE8" w14:textId="77777777" w:rsidR="002F45CD" w:rsidRPr="002F45CD" w:rsidRDefault="002F45CD" w:rsidP="0081225E">
            <w:pPr>
              <w:bidi/>
              <w:ind w:firstLine="0"/>
              <w:rPr>
                <w:rFonts w:cs="Simplified Arabic"/>
                <w:sz w:val="28"/>
                <w:szCs w:val="28"/>
                <w:rtl/>
              </w:rPr>
            </w:pPr>
            <w:r w:rsidRPr="002F45CD">
              <w:rPr>
                <w:rFonts w:cs="Simplified Arabic"/>
                <w:sz w:val="28"/>
                <w:szCs w:val="28"/>
                <w:rtl/>
              </w:rPr>
              <w:t>وهي النموذج الأمثل لشركات الأشخاص حيث يكون كل شريك فيها مسؤولاً مسؤولية تضامنية، وفي جميع أمواله عن ديون الشركة كما يكتسب كل شريك فيها صفة التاجر.</w:t>
            </w:r>
          </w:p>
        </w:tc>
      </w:tr>
      <w:tr w:rsidR="002F45CD" w:rsidRPr="002F45CD" w14:paraId="5A924CA1" w14:textId="77777777" w:rsidTr="0081225E">
        <w:trPr>
          <w:cantSplit/>
        </w:trPr>
        <w:tc>
          <w:tcPr>
            <w:tcW w:w="665" w:type="dxa"/>
            <w:tcMar>
              <w:top w:w="170" w:type="dxa"/>
              <w:left w:w="57" w:type="dxa"/>
              <w:bottom w:w="170" w:type="dxa"/>
              <w:right w:w="57" w:type="dxa"/>
            </w:tcMar>
          </w:tcPr>
          <w:p w14:paraId="3348D764" w14:textId="77777777" w:rsidR="002F45CD" w:rsidRPr="002F45CD" w:rsidRDefault="002F45CD" w:rsidP="0081225E">
            <w:pPr>
              <w:bidi/>
              <w:ind w:firstLine="0"/>
              <w:rPr>
                <w:rFonts w:cs="Simplified Arabic"/>
                <w:sz w:val="28"/>
                <w:szCs w:val="28"/>
              </w:rPr>
            </w:pPr>
            <w:r w:rsidRPr="002F45CD">
              <w:rPr>
                <w:rFonts w:cs="Simplified Arabic" w:hint="cs"/>
                <w:sz w:val="28"/>
                <w:szCs w:val="28"/>
                <w:rtl/>
              </w:rPr>
              <w:t>15</w:t>
            </w:r>
          </w:p>
        </w:tc>
        <w:tc>
          <w:tcPr>
            <w:tcW w:w="1943" w:type="dxa"/>
            <w:tcMar>
              <w:top w:w="170" w:type="dxa"/>
              <w:left w:w="57" w:type="dxa"/>
              <w:bottom w:w="170" w:type="dxa"/>
              <w:right w:w="57" w:type="dxa"/>
            </w:tcMar>
          </w:tcPr>
          <w:p w14:paraId="0C7BE09D" w14:textId="77777777" w:rsidR="002F45CD" w:rsidRPr="002F45CD" w:rsidRDefault="002F45CD" w:rsidP="0081225E">
            <w:pPr>
              <w:bidi/>
              <w:ind w:firstLine="0"/>
              <w:jc w:val="left"/>
              <w:rPr>
                <w:rFonts w:cs="Simplified Arabic"/>
                <w:sz w:val="28"/>
                <w:szCs w:val="28"/>
                <w:rtl/>
              </w:rPr>
            </w:pPr>
            <w:r w:rsidRPr="002F45CD">
              <w:rPr>
                <w:rFonts w:cs="Simplified Arabic" w:hint="cs"/>
                <w:sz w:val="28"/>
                <w:szCs w:val="28"/>
                <w:rtl/>
              </w:rPr>
              <w:t>شركة التوصية البسيطة</w:t>
            </w:r>
          </w:p>
        </w:tc>
        <w:tc>
          <w:tcPr>
            <w:tcW w:w="2410" w:type="dxa"/>
            <w:tcMar>
              <w:top w:w="170" w:type="dxa"/>
              <w:left w:w="113" w:type="dxa"/>
              <w:bottom w:w="170" w:type="dxa"/>
              <w:right w:w="113" w:type="dxa"/>
            </w:tcMar>
          </w:tcPr>
          <w:p w14:paraId="07648CE1" w14:textId="77777777" w:rsidR="002F45CD" w:rsidRPr="002F45CD" w:rsidRDefault="002F45CD" w:rsidP="0081225E">
            <w:pPr>
              <w:ind w:firstLine="0"/>
              <w:jc w:val="left"/>
              <w:rPr>
                <w:rFonts w:cs="Simplified Arabic"/>
                <w:sz w:val="28"/>
                <w:szCs w:val="28"/>
                <w:highlight w:val="yellow"/>
                <w:rtl/>
              </w:rPr>
            </w:pPr>
            <w:r w:rsidRPr="002F45CD">
              <w:rPr>
                <w:rFonts w:cs="Simplified Arabic"/>
                <w:sz w:val="28"/>
                <w:szCs w:val="28"/>
              </w:rPr>
              <w:t>Société en Commandité Simple</w:t>
            </w:r>
          </w:p>
        </w:tc>
        <w:tc>
          <w:tcPr>
            <w:tcW w:w="5296" w:type="dxa"/>
            <w:tcMar>
              <w:top w:w="170" w:type="dxa"/>
              <w:left w:w="57" w:type="dxa"/>
              <w:bottom w:w="170" w:type="dxa"/>
              <w:right w:w="57" w:type="dxa"/>
            </w:tcMar>
          </w:tcPr>
          <w:p w14:paraId="377D3CCD" w14:textId="77777777" w:rsidR="002F45CD" w:rsidRPr="002F45CD" w:rsidRDefault="002F45CD" w:rsidP="0081225E">
            <w:pPr>
              <w:bidi/>
              <w:ind w:firstLine="0"/>
              <w:rPr>
                <w:rFonts w:cs="Simplified Arabic"/>
                <w:sz w:val="28"/>
                <w:szCs w:val="28"/>
                <w:rtl/>
              </w:rPr>
            </w:pPr>
            <w:r w:rsidRPr="002F45CD">
              <w:rPr>
                <w:rFonts w:cs="Simplified Arabic"/>
                <w:sz w:val="28"/>
                <w:szCs w:val="28"/>
                <w:rtl/>
              </w:rPr>
              <w:t>وتتكون من فريقين من الشركاء: شركاء متضامنين يخضعون لنفس النظام القانوني الذي يخضع له الشركاء في شركة التضامن، فيكونون مسؤولين مسؤولية تضامنية، وغير محددة عن ديون الشركة ويكتسبون صفة التاجر، وشركاء موصين لا يسألون عن ديون الشركة إلا في حدود حصصهم ولا يكتسبون صفة التاجر ولا يشاركون في إدارة الشركة.</w:t>
            </w:r>
          </w:p>
        </w:tc>
      </w:tr>
    </w:tbl>
    <w:p w14:paraId="52DC287C" w14:textId="77777777" w:rsidR="00183171" w:rsidRDefault="00183171" w:rsidP="00183171">
      <w:pPr>
        <w:bidi/>
        <w:ind w:firstLine="0"/>
        <w:rPr>
          <w:sz w:val="28"/>
          <w:szCs w:val="28"/>
          <w:rtl/>
        </w:rPr>
      </w:pPr>
    </w:p>
    <w:p w14:paraId="3FA0AD9A" w14:textId="77777777" w:rsidR="002F45CD" w:rsidRPr="002F45CD" w:rsidRDefault="002F45CD" w:rsidP="002F45CD">
      <w:pPr>
        <w:bidi/>
        <w:rPr>
          <w:sz w:val="28"/>
          <w:szCs w:val="28"/>
        </w:rPr>
      </w:pPr>
    </w:p>
    <w:p w14:paraId="73020D4D" w14:textId="77777777" w:rsidR="002F45CD" w:rsidRPr="002F45CD" w:rsidRDefault="002F45CD" w:rsidP="002F45CD">
      <w:pPr>
        <w:bidi/>
        <w:rPr>
          <w:sz w:val="28"/>
          <w:szCs w:val="28"/>
        </w:rPr>
      </w:pPr>
    </w:p>
    <w:p w14:paraId="1B69BE9E" w14:textId="77777777" w:rsidR="002F45CD" w:rsidRPr="002F45CD" w:rsidRDefault="002F45CD" w:rsidP="002F45CD">
      <w:pPr>
        <w:bidi/>
        <w:rPr>
          <w:sz w:val="28"/>
          <w:szCs w:val="28"/>
        </w:rPr>
      </w:pPr>
    </w:p>
    <w:p w14:paraId="36FA10A9" w14:textId="77777777" w:rsidR="002F45CD" w:rsidRPr="002F45CD" w:rsidRDefault="002F45CD" w:rsidP="002F45CD">
      <w:pPr>
        <w:bidi/>
        <w:rPr>
          <w:sz w:val="28"/>
          <w:szCs w:val="28"/>
        </w:rPr>
      </w:pPr>
    </w:p>
    <w:p w14:paraId="58DD2E95" w14:textId="77777777" w:rsidR="002F45CD" w:rsidRPr="002F45CD" w:rsidRDefault="002F45CD" w:rsidP="002F45CD">
      <w:pPr>
        <w:bidi/>
        <w:rPr>
          <w:sz w:val="28"/>
          <w:szCs w:val="28"/>
        </w:rPr>
      </w:pPr>
    </w:p>
    <w:p w14:paraId="14547B1A" w14:textId="77777777" w:rsidR="002F45CD" w:rsidRPr="002F45CD" w:rsidRDefault="002F45CD" w:rsidP="002F45CD">
      <w:pPr>
        <w:bidi/>
        <w:rPr>
          <w:sz w:val="28"/>
          <w:szCs w:val="28"/>
        </w:rPr>
      </w:pPr>
    </w:p>
    <w:p w14:paraId="02D0C48E" w14:textId="77777777" w:rsidR="002F45CD" w:rsidRPr="002F45CD" w:rsidRDefault="002F45CD" w:rsidP="002F45CD">
      <w:pPr>
        <w:bidi/>
        <w:rPr>
          <w:sz w:val="28"/>
          <w:szCs w:val="28"/>
        </w:rPr>
      </w:pPr>
    </w:p>
    <w:p w14:paraId="1352F57C" w14:textId="77777777" w:rsidR="002F45CD" w:rsidRPr="002F45CD" w:rsidRDefault="002F45CD" w:rsidP="002F45CD">
      <w:pPr>
        <w:bidi/>
        <w:jc w:val="center"/>
        <w:rPr>
          <w:sz w:val="28"/>
          <w:szCs w:val="28"/>
        </w:rPr>
      </w:pPr>
    </w:p>
    <w:sectPr w:rsidR="002F45CD" w:rsidRPr="002F45CD" w:rsidSect="00183171">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872DF" w14:textId="77777777" w:rsidR="00190831" w:rsidRDefault="00190831" w:rsidP="00183171">
      <w:pPr>
        <w:spacing w:line="240" w:lineRule="auto"/>
      </w:pPr>
      <w:r>
        <w:separator/>
      </w:r>
    </w:p>
  </w:endnote>
  <w:endnote w:type="continuationSeparator" w:id="0">
    <w:p w14:paraId="635B3880" w14:textId="77777777" w:rsidR="00190831" w:rsidRDefault="00190831" w:rsidP="00183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D17B" w14:textId="4E4A0410" w:rsidR="00183171" w:rsidRPr="002F45CD" w:rsidRDefault="00183171" w:rsidP="00183171">
    <w:pPr>
      <w:pStyle w:val="Footer"/>
      <w:jc w:val="right"/>
      <w:rPr>
        <w:rFonts w:hint="cs"/>
        <w:rtl/>
        <w:lang w:val="en-US" w:bidi="ar-DZ"/>
      </w:rPr>
    </w:pPr>
    <w:r>
      <w:rPr>
        <w:rFonts w:hint="cs"/>
        <w:rtl/>
      </w:rPr>
      <w:t xml:space="preserve">الثالثة ليسانس </w:t>
    </w:r>
    <w:r>
      <w:rPr>
        <w:rtl/>
      </w:rPr>
      <w:t>–</w:t>
    </w:r>
    <w:r>
      <w:rPr>
        <w:rFonts w:hint="cs"/>
        <w:rtl/>
      </w:rPr>
      <w:t xml:space="preserve"> قانون خاص -  مصطلحات فرنسية</w:t>
    </w:r>
    <w:r>
      <w:rPr>
        <w:rtl/>
      </w:rPr>
      <w:t>–</w:t>
    </w:r>
    <w:r>
      <w:rPr>
        <w:rFonts w:hint="cs"/>
        <w:rtl/>
      </w:rPr>
      <w:t xml:space="preserve">2025/2026 </w:t>
    </w:r>
    <w:r>
      <w:rPr>
        <w:rtl/>
      </w:rPr>
      <w:t>–</w:t>
    </w:r>
    <w:r>
      <w:rPr>
        <w:rFonts w:hint="cs"/>
        <w:rtl/>
      </w:rPr>
      <w:t xml:space="preserve"> السداسي الثان</w:t>
    </w:r>
    <w:r w:rsidR="002F45CD">
      <w:rPr>
        <w:rFonts w:hint="cs"/>
        <w:rtl/>
        <w:lang w:val="en-US" w:bidi="ar-DZ"/>
      </w:rPr>
      <w:t>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46BE" w14:textId="77777777" w:rsidR="00190831" w:rsidRDefault="00190831" w:rsidP="00183171">
      <w:pPr>
        <w:spacing w:line="240" w:lineRule="auto"/>
      </w:pPr>
      <w:r>
        <w:separator/>
      </w:r>
    </w:p>
  </w:footnote>
  <w:footnote w:type="continuationSeparator" w:id="0">
    <w:p w14:paraId="4B51A2B7" w14:textId="77777777" w:rsidR="00190831" w:rsidRDefault="00190831" w:rsidP="001831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71"/>
    <w:rsid w:val="000048E0"/>
    <w:rsid w:val="00183171"/>
    <w:rsid w:val="00190831"/>
    <w:rsid w:val="002B10F2"/>
    <w:rsid w:val="002F45CD"/>
    <w:rsid w:val="004B0FF6"/>
    <w:rsid w:val="00503F60"/>
    <w:rsid w:val="007A2A7B"/>
    <w:rsid w:val="009B020E"/>
    <w:rsid w:val="009B0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DD5F"/>
  <w15:chartTrackingRefBased/>
  <w15:docId w15:val="{4308A057-3C8C-4084-BE99-852C4F35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171"/>
    <w:pPr>
      <w:spacing w:after="0" w:line="360" w:lineRule="auto"/>
      <w:ind w:firstLine="397"/>
      <w:jc w:val="both"/>
    </w:pPr>
    <w:rPr>
      <w:kern w:val="0"/>
      <w:sz w:val="22"/>
      <w:szCs w:val="22"/>
      <w:lang w:val="fr-FR"/>
      <w14:ligatures w14:val="none"/>
    </w:rPr>
  </w:style>
  <w:style w:type="paragraph" w:styleId="Heading1">
    <w:name w:val="heading 1"/>
    <w:basedOn w:val="Normal"/>
    <w:next w:val="Normal"/>
    <w:link w:val="Heading1Char"/>
    <w:uiPriority w:val="9"/>
    <w:qFormat/>
    <w:rsid w:val="00183171"/>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83171"/>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83171"/>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83171"/>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83171"/>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83171"/>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83171"/>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83171"/>
    <w:pPr>
      <w:keepNext/>
      <w:keepLines/>
      <w:spacing w:line="278" w:lineRule="auto"/>
      <w:ind w:firstLine="0"/>
      <w:jc w:val="left"/>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83171"/>
    <w:pPr>
      <w:keepNext/>
      <w:keepLines/>
      <w:spacing w:line="278" w:lineRule="auto"/>
      <w:ind w:firstLine="0"/>
      <w:jc w:val="left"/>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1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31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31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31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31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3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171"/>
    <w:rPr>
      <w:rFonts w:eastAsiaTheme="majorEastAsia" w:cstheme="majorBidi"/>
      <w:color w:val="272727" w:themeColor="text1" w:themeTint="D8"/>
    </w:rPr>
  </w:style>
  <w:style w:type="paragraph" w:styleId="Title">
    <w:name w:val="Title"/>
    <w:basedOn w:val="Normal"/>
    <w:next w:val="Normal"/>
    <w:link w:val="TitleChar"/>
    <w:uiPriority w:val="10"/>
    <w:qFormat/>
    <w:rsid w:val="00183171"/>
    <w:pPr>
      <w:spacing w:after="80" w:line="240" w:lineRule="auto"/>
      <w:ind w:firstLine="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83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171"/>
    <w:pPr>
      <w:numPr>
        <w:ilvl w:val="1"/>
      </w:numPr>
      <w:spacing w:after="160" w:line="278" w:lineRule="auto"/>
      <w:jc w:val="left"/>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83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171"/>
    <w:pPr>
      <w:spacing w:before="160" w:after="160" w:line="278" w:lineRule="auto"/>
      <w:ind w:firstLine="0"/>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83171"/>
    <w:rPr>
      <w:i/>
      <w:iCs/>
      <w:color w:val="404040" w:themeColor="text1" w:themeTint="BF"/>
    </w:rPr>
  </w:style>
  <w:style w:type="paragraph" w:styleId="ListParagraph">
    <w:name w:val="List Paragraph"/>
    <w:basedOn w:val="Normal"/>
    <w:uiPriority w:val="34"/>
    <w:qFormat/>
    <w:rsid w:val="00183171"/>
    <w:pPr>
      <w:spacing w:after="160" w:line="278" w:lineRule="auto"/>
      <w:ind w:left="720" w:firstLine="0"/>
      <w:contextualSpacing/>
      <w:jc w:val="left"/>
    </w:pPr>
    <w:rPr>
      <w:kern w:val="2"/>
      <w:sz w:val="24"/>
      <w:szCs w:val="24"/>
      <w:lang w:val="en-US"/>
      <w14:ligatures w14:val="standardContextual"/>
    </w:rPr>
  </w:style>
  <w:style w:type="character" w:styleId="IntenseEmphasis">
    <w:name w:val="Intense Emphasis"/>
    <w:basedOn w:val="DefaultParagraphFont"/>
    <w:uiPriority w:val="21"/>
    <w:qFormat/>
    <w:rsid w:val="00183171"/>
    <w:rPr>
      <w:i/>
      <w:iCs/>
      <w:color w:val="2F5496" w:themeColor="accent1" w:themeShade="BF"/>
    </w:rPr>
  </w:style>
  <w:style w:type="paragraph" w:styleId="IntenseQuote">
    <w:name w:val="Intense Quote"/>
    <w:basedOn w:val="Normal"/>
    <w:next w:val="Normal"/>
    <w:link w:val="IntenseQuoteChar"/>
    <w:uiPriority w:val="30"/>
    <w:qFormat/>
    <w:rsid w:val="00183171"/>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83171"/>
    <w:rPr>
      <w:i/>
      <w:iCs/>
      <w:color w:val="2F5496" w:themeColor="accent1" w:themeShade="BF"/>
    </w:rPr>
  </w:style>
  <w:style w:type="character" w:styleId="IntenseReference">
    <w:name w:val="Intense Reference"/>
    <w:basedOn w:val="DefaultParagraphFont"/>
    <w:uiPriority w:val="32"/>
    <w:qFormat/>
    <w:rsid w:val="00183171"/>
    <w:rPr>
      <w:b/>
      <w:bCs/>
      <w:smallCaps/>
      <w:color w:val="2F5496" w:themeColor="accent1" w:themeShade="BF"/>
      <w:spacing w:val="5"/>
    </w:rPr>
  </w:style>
  <w:style w:type="table" w:styleId="TableGrid">
    <w:name w:val="Table Grid"/>
    <w:basedOn w:val="TableNormal"/>
    <w:uiPriority w:val="59"/>
    <w:rsid w:val="00183171"/>
    <w:pPr>
      <w:spacing w:after="0" w:line="240" w:lineRule="auto"/>
      <w:ind w:firstLine="397"/>
      <w:jc w:val="both"/>
    </w:pPr>
    <w:rPr>
      <w:kern w:val="0"/>
      <w:sz w:val="22"/>
      <w:szCs w:val="22"/>
      <w:lang w:val="fr-F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3171"/>
    <w:pPr>
      <w:tabs>
        <w:tab w:val="center" w:pos="4680"/>
        <w:tab w:val="right" w:pos="9360"/>
      </w:tabs>
      <w:spacing w:line="240" w:lineRule="auto"/>
    </w:pPr>
  </w:style>
  <w:style w:type="character" w:customStyle="1" w:styleId="HeaderChar">
    <w:name w:val="Header Char"/>
    <w:basedOn w:val="DefaultParagraphFont"/>
    <w:link w:val="Header"/>
    <w:uiPriority w:val="99"/>
    <w:rsid w:val="00183171"/>
    <w:rPr>
      <w:kern w:val="0"/>
      <w:sz w:val="22"/>
      <w:szCs w:val="22"/>
      <w:lang w:val="fr-FR"/>
      <w14:ligatures w14:val="none"/>
    </w:rPr>
  </w:style>
  <w:style w:type="paragraph" w:styleId="Footer">
    <w:name w:val="footer"/>
    <w:basedOn w:val="Normal"/>
    <w:link w:val="FooterChar"/>
    <w:uiPriority w:val="99"/>
    <w:unhideWhenUsed/>
    <w:rsid w:val="00183171"/>
    <w:pPr>
      <w:tabs>
        <w:tab w:val="center" w:pos="4680"/>
        <w:tab w:val="right" w:pos="9360"/>
      </w:tabs>
      <w:spacing w:line="240" w:lineRule="auto"/>
    </w:pPr>
  </w:style>
  <w:style w:type="character" w:customStyle="1" w:styleId="FooterChar">
    <w:name w:val="Footer Char"/>
    <w:basedOn w:val="DefaultParagraphFont"/>
    <w:link w:val="Footer"/>
    <w:uiPriority w:val="99"/>
    <w:rsid w:val="00183171"/>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E-learning</dc:creator>
  <cp:keywords/>
  <dc:description/>
  <cp:lastModifiedBy>E-learning</cp:lastModifiedBy>
  <cp:revision>2</cp:revision>
  <dcterms:created xsi:type="dcterms:W3CDTF">2026-03-05T13:39:00Z</dcterms:created>
  <dcterms:modified xsi:type="dcterms:W3CDTF">2026-03-05T13:39:00Z</dcterms:modified>
</cp:coreProperties>
</file>