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314" w:type="dxa"/>
        <w:tblLook w:val="04A0" w:firstRow="1" w:lastRow="0" w:firstColumn="1" w:lastColumn="0" w:noHBand="0" w:noVBand="1"/>
      </w:tblPr>
      <w:tblGrid>
        <w:gridCol w:w="665"/>
        <w:gridCol w:w="1943"/>
        <w:gridCol w:w="2410"/>
        <w:gridCol w:w="5296"/>
      </w:tblGrid>
      <w:tr w:rsidR="00183171" w:rsidRPr="00183171" w14:paraId="2825C9F3" w14:textId="77777777" w:rsidTr="0081225E">
        <w:trPr>
          <w:cantSplit/>
        </w:trPr>
        <w:tc>
          <w:tcPr>
            <w:tcW w:w="665" w:type="dxa"/>
            <w:tcMar>
              <w:top w:w="170" w:type="dxa"/>
              <w:left w:w="57" w:type="dxa"/>
              <w:bottom w:w="170" w:type="dxa"/>
              <w:right w:w="57" w:type="dxa"/>
            </w:tcMar>
          </w:tcPr>
          <w:p w14:paraId="0018D35C"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8</w:t>
            </w:r>
          </w:p>
        </w:tc>
        <w:tc>
          <w:tcPr>
            <w:tcW w:w="1943" w:type="dxa"/>
            <w:tcMar>
              <w:top w:w="170" w:type="dxa"/>
              <w:left w:w="57" w:type="dxa"/>
              <w:bottom w:w="170" w:type="dxa"/>
              <w:right w:w="57" w:type="dxa"/>
            </w:tcMar>
          </w:tcPr>
          <w:p w14:paraId="537133C8" w14:textId="77777777" w:rsidR="00183171" w:rsidRPr="00183171" w:rsidRDefault="00183171" w:rsidP="0081225E">
            <w:pPr>
              <w:bidi/>
              <w:ind w:firstLine="0"/>
              <w:jc w:val="left"/>
              <w:rPr>
                <w:rFonts w:cs="Simplified Arabic"/>
                <w:sz w:val="28"/>
                <w:szCs w:val="28"/>
                <w:rtl/>
              </w:rPr>
            </w:pPr>
            <w:r w:rsidRPr="00183171">
              <w:rPr>
                <w:rFonts w:cs="Simplified Arabic" w:hint="cs"/>
                <w:sz w:val="28"/>
                <w:szCs w:val="28"/>
                <w:rtl/>
              </w:rPr>
              <w:t>الشركة</w:t>
            </w:r>
          </w:p>
        </w:tc>
        <w:tc>
          <w:tcPr>
            <w:tcW w:w="2410" w:type="dxa"/>
            <w:tcMar>
              <w:top w:w="170" w:type="dxa"/>
              <w:left w:w="113" w:type="dxa"/>
              <w:bottom w:w="170" w:type="dxa"/>
              <w:right w:w="113" w:type="dxa"/>
            </w:tcMar>
          </w:tcPr>
          <w:p w14:paraId="38DC64D0" w14:textId="77777777" w:rsidR="00183171" w:rsidRPr="00183171" w:rsidRDefault="00183171" w:rsidP="0081225E">
            <w:pPr>
              <w:ind w:firstLine="0"/>
              <w:jc w:val="left"/>
              <w:rPr>
                <w:rFonts w:cs="Simplified Arabic"/>
                <w:sz w:val="28"/>
                <w:szCs w:val="28"/>
              </w:rPr>
            </w:pPr>
            <w:r w:rsidRPr="00183171">
              <w:rPr>
                <w:rFonts w:cs="Simplified Arabic"/>
                <w:sz w:val="28"/>
                <w:szCs w:val="28"/>
              </w:rPr>
              <w:t>Société</w:t>
            </w:r>
          </w:p>
        </w:tc>
        <w:tc>
          <w:tcPr>
            <w:tcW w:w="5296" w:type="dxa"/>
            <w:tcMar>
              <w:top w:w="170" w:type="dxa"/>
              <w:left w:w="57" w:type="dxa"/>
              <w:bottom w:w="170" w:type="dxa"/>
              <w:right w:w="57" w:type="dxa"/>
            </w:tcMar>
          </w:tcPr>
          <w:p w14:paraId="7A1448EA" w14:textId="77777777" w:rsidR="00183171" w:rsidRPr="00183171" w:rsidRDefault="00183171" w:rsidP="0081225E">
            <w:pPr>
              <w:bidi/>
              <w:ind w:firstLine="0"/>
              <w:rPr>
                <w:rFonts w:cs="Simplified Arabic"/>
                <w:sz w:val="28"/>
                <w:szCs w:val="28"/>
              </w:rPr>
            </w:pPr>
            <w:r w:rsidRPr="00183171">
              <w:rPr>
                <w:rFonts w:cs="Simplified Arabic" w:hint="cs"/>
                <w:sz w:val="28"/>
                <w:szCs w:val="28"/>
                <w:rtl/>
              </w:rPr>
              <w:t>راجع المادة 416 ق.م.ج.</w:t>
            </w:r>
          </w:p>
          <w:p w14:paraId="773E328A" w14:textId="77777777" w:rsidR="00183171" w:rsidRPr="00183171" w:rsidRDefault="00183171" w:rsidP="0081225E">
            <w:pPr>
              <w:bidi/>
              <w:ind w:firstLine="0"/>
              <w:rPr>
                <w:rFonts w:cs="Simplified Arabic"/>
                <w:sz w:val="28"/>
                <w:szCs w:val="28"/>
                <w:rtl/>
              </w:rPr>
            </w:pPr>
            <w:r w:rsidRPr="00183171">
              <w:rPr>
                <w:rFonts w:cs="Simplified Arabic"/>
                <w:sz w:val="28"/>
                <w:szCs w:val="28"/>
                <w:rtl/>
              </w:rPr>
              <w:t xml:space="preserve">الشركة هي عقد يلتزم بمقتضاه شخصان أو أكثر بأن يساهم كل منهم في مشروع يستهدف الربح بتقديم حصة من مال أو عمل، </w:t>
            </w:r>
            <w:r w:rsidRPr="00183171">
              <w:rPr>
                <w:rFonts w:cs="Simplified Arabic" w:hint="cs"/>
                <w:sz w:val="28"/>
                <w:szCs w:val="28"/>
                <w:rtl/>
              </w:rPr>
              <w:t>و</w:t>
            </w:r>
            <w:r w:rsidRPr="00183171">
              <w:rPr>
                <w:rFonts w:cs="Simplified Arabic"/>
                <w:sz w:val="28"/>
                <w:szCs w:val="28"/>
                <w:rtl/>
              </w:rPr>
              <w:t>اقتسام ما قد ينشأ عن المشروع من ربح أو خسارة</w:t>
            </w:r>
            <w:r w:rsidRPr="00183171">
              <w:rPr>
                <w:rFonts w:cs="Simplified Arabic" w:hint="cs"/>
                <w:sz w:val="28"/>
                <w:szCs w:val="28"/>
                <w:rtl/>
              </w:rPr>
              <w:t>.</w:t>
            </w:r>
          </w:p>
        </w:tc>
      </w:tr>
      <w:tr w:rsidR="00183171" w:rsidRPr="00183171" w14:paraId="6DA70DF4" w14:textId="77777777" w:rsidTr="0081225E">
        <w:trPr>
          <w:cantSplit/>
        </w:trPr>
        <w:tc>
          <w:tcPr>
            <w:tcW w:w="665" w:type="dxa"/>
            <w:tcMar>
              <w:top w:w="170" w:type="dxa"/>
              <w:left w:w="57" w:type="dxa"/>
              <w:bottom w:w="170" w:type="dxa"/>
              <w:right w:w="57" w:type="dxa"/>
            </w:tcMar>
          </w:tcPr>
          <w:p w14:paraId="4CC145D2"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9</w:t>
            </w:r>
          </w:p>
        </w:tc>
        <w:tc>
          <w:tcPr>
            <w:tcW w:w="1943" w:type="dxa"/>
            <w:tcMar>
              <w:top w:w="170" w:type="dxa"/>
              <w:left w:w="57" w:type="dxa"/>
              <w:bottom w:w="170" w:type="dxa"/>
              <w:right w:w="57" w:type="dxa"/>
            </w:tcMar>
          </w:tcPr>
          <w:p w14:paraId="2DA05B43"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الشركة المدنية</w:t>
            </w:r>
          </w:p>
        </w:tc>
        <w:tc>
          <w:tcPr>
            <w:tcW w:w="2410" w:type="dxa"/>
            <w:tcMar>
              <w:top w:w="170" w:type="dxa"/>
              <w:left w:w="113" w:type="dxa"/>
              <w:bottom w:w="170" w:type="dxa"/>
              <w:right w:w="113" w:type="dxa"/>
            </w:tcMar>
          </w:tcPr>
          <w:p w14:paraId="7BD9E83C" w14:textId="77777777" w:rsidR="00183171" w:rsidRPr="00183171" w:rsidRDefault="00183171" w:rsidP="0081225E">
            <w:pPr>
              <w:ind w:firstLine="0"/>
              <w:jc w:val="left"/>
              <w:rPr>
                <w:rFonts w:cs="Simplified Arabic"/>
                <w:sz w:val="28"/>
                <w:szCs w:val="28"/>
                <w:rtl/>
              </w:rPr>
            </w:pPr>
            <w:r w:rsidRPr="00183171">
              <w:rPr>
                <w:rFonts w:cs="Simplified Arabic"/>
                <w:sz w:val="28"/>
                <w:szCs w:val="28"/>
              </w:rPr>
              <w:t>Société Civile</w:t>
            </w:r>
          </w:p>
        </w:tc>
        <w:tc>
          <w:tcPr>
            <w:tcW w:w="5296" w:type="dxa"/>
            <w:tcMar>
              <w:top w:w="170" w:type="dxa"/>
              <w:left w:w="57" w:type="dxa"/>
              <w:bottom w:w="170" w:type="dxa"/>
              <w:right w:w="57" w:type="dxa"/>
            </w:tcMar>
          </w:tcPr>
          <w:p w14:paraId="71AF5043"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شركة يكون محل نشاطها غير تجاري، وتخضع عادة لأحكام القانون المدني</w:t>
            </w:r>
            <w:r w:rsidRPr="00183171">
              <w:rPr>
                <w:rFonts w:cs="Simplified Arabic"/>
                <w:sz w:val="28"/>
                <w:szCs w:val="28"/>
              </w:rPr>
              <w:t>.</w:t>
            </w:r>
          </w:p>
        </w:tc>
      </w:tr>
      <w:tr w:rsidR="00183171" w:rsidRPr="00183171" w14:paraId="74DE9AB7" w14:textId="77777777" w:rsidTr="0081225E">
        <w:trPr>
          <w:cantSplit/>
        </w:trPr>
        <w:tc>
          <w:tcPr>
            <w:tcW w:w="665" w:type="dxa"/>
            <w:tcMar>
              <w:top w:w="170" w:type="dxa"/>
              <w:left w:w="57" w:type="dxa"/>
              <w:bottom w:w="170" w:type="dxa"/>
              <w:right w:w="57" w:type="dxa"/>
            </w:tcMar>
          </w:tcPr>
          <w:p w14:paraId="3CCF2DF8"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10</w:t>
            </w:r>
          </w:p>
        </w:tc>
        <w:tc>
          <w:tcPr>
            <w:tcW w:w="1943" w:type="dxa"/>
            <w:tcMar>
              <w:top w:w="170" w:type="dxa"/>
              <w:left w:w="57" w:type="dxa"/>
              <w:bottom w:w="170" w:type="dxa"/>
              <w:right w:w="57" w:type="dxa"/>
            </w:tcMar>
          </w:tcPr>
          <w:p w14:paraId="73236552" w14:textId="77777777" w:rsidR="00183171" w:rsidRPr="00183171" w:rsidRDefault="00183171" w:rsidP="0081225E">
            <w:pPr>
              <w:bidi/>
              <w:ind w:firstLine="0"/>
              <w:jc w:val="left"/>
              <w:rPr>
                <w:rFonts w:cs="Simplified Arabic"/>
                <w:sz w:val="28"/>
                <w:szCs w:val="28"/>
                <w:rtl/>
                <w:lang w:bidi="ar-DZ"/>
              </w:rPr>
            </w:pPr>
            <w:r w:rsidRPr="00183171">
              <w:rPr>
                <w:rFonts w:cs="Simplified Arabic" w:hint="cs"/>
                <w:sz w:val="28"/>
                <w:szCs w:val="28"/>
                <w:rtl/>
              </w:rPr>
              <w:t>الشركة التجارية</w:t>
            </w:r>
            <w:r w:rsidRPr="00183171">
              <w:rPr>
                <w:rFonts w:cs="Simplified Arabic" w:hint="cs"/>
                <w:sz w:val="28"/>
                <w:szCs w:val="28"/>
                <w:rtl/>
                <w:lang w:bidi="ar-DZ"/>
              </w:rPr>
              <w:t xml:space="preserve"> (شركة الأعمال)</w:t>
            </w:r>
          </w:p>
        </w:tc>
        <w:tc>
          <w:tcPr>
            <w:tcW w:w="2410" w:type="dxa"/>
            <w:tcMar>
              <w:top w:w="170" w:type="dxa"/>
              <w:left w:w="113" w:type="dxa"/>
              <w:bottom w:w="170" w:type="dxa"/>
              <w:right w:w="113" w:type="dxa"/>
            </w:tcMar>
          </w:tcPr>
          <w:p w14:paraId="2FF30003" w14:textId="77777777" w:rsidR="00183171" w:rsidRPr="00183171" w:rsidRDefault="00183171" w:rsidP="0081225E">
            <w:pPr>
              <w:ind w:firstLine="0"/>
              <w:rPr>
                <w:rFonts w:cs="Simplified Arabic"/>
                <w:sz w:val="28"/>
                <w:szCs w:val="28"/>
                <w:highlight w:val="yellow"/>
                <w:rtl/>
              </w:rPr>
            </w:pPr>
            <w:r w:rsidRPr="00183171">
              <w:rPr>
                <w:rFonts w:cs="Simplified Arabic"/>
                <w:sz w:val="28"/>
                <w:szCs w:val="28"/>
              </w:rPr>
              <w:t>Société Commerciale</w:t>
            </w:r>
          </w:p>
        </w:tc>
        <w:tc>
          <w:tcPr>
            <w:tcW w:w="5296" w:type="dxa"/>
            <w:tcMar>
              <w:top w:w="170" w:type="dxa"/>
              <w:left w:w="57" w:type="dxa"/>
              <w:bottom w:w="170" w:type="dxa"/>
              <w:right w:w="57" w:type="dxa"/>
            </w:tcMar>
          </w:tcPr>
          <w:p w14:paraId="18544B6F"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شركة يكون محل نشاطها الأصلي أعمالا تجارية</w:t>
            </w:r>
            <w:r w:rsidRPr="00183171">
              <w:rPr>
                <w:rFonts w:cs="Simplified Arabic"/>
                <w:sz w:val="28"/>
                <w:szCs w:val="28"/>
              </w:rPr>
              <w:t>.</w:t>
            </w:r>
          </w:p>
        </w:tc>
      </w:tr>
      <w:tr w:rsidR="00183171" w:rsidRPr="00183171" w14:paraId="0FE3389B" w14:textId="77777777" w:rsidTr="0081225E">
        <w:trPr>
          <w:cantSplit/>
        </w:trPr>
        <w:tc>
          <w:tcPr>
            <w:tcW w:w="665" w:type="dxa"/>
            <w:tcMar>
              <w:top w:w="170" w:type="dxa"/>
              <w:left w:w="57" w:type="dxa"/>
              <w:bottom w:w="170" w:type="dxa"/>
              <w:right w:w="57" w:type="dxa"/>
            </w:tcMar>
          </w:tcPr>
          <w:p w14:paraId="1AE263EE"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11</w:t>
            </w:r>
          </w:p>
        </w:tc>
        <w:tc>
          <w:tcPr>
            <w:tcW w:w="1943" w:type="dxa"/>
            <w:tcMar>
              <w:top w:w="170" w:type="dxa"/>
              <w:left w:w="57" w:type="dxa"/>
              <w:bottom w:w="170" w:type="dxa"/>
              <w:right w:w="57" w:type="dxa"/>
            </w:tcMar>
          </w:tcPr>
          <w:p w14:paraId="7A206844"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شركة الأشخاص</w:t>
            </w:r>
          </w:p>
        </w:tc>
        <w:tc>
          <w:tcPr>
            <w:tcW w:w="2410" w:type="dxa"/>
            <w:tcMar>
              <w:top w:w="170" w:type="dxa"/>
              <w:left w:w="113" w:type="dxa"/>
              <w:bottom w:w="170" w:type="dxa"/>
              <w:right w:w="113" w:type="dxa"/>
            </w:tcMar>
          </w:tcPr>
          <w:p w14:paraId="484CEB7E" w14:textId="77777777" w:rsidR="00183171" w:rsidRPr="00183171" w:rsidRDefault="00183171" w:rsidP="0081225E">
            <w:pPr>
              <w:ind w:firstLine="0"/>
              <w:jc w:val="left"/>
              <w:rPr>
                <w:rFonts w:cs="Simplified Arabic"/>
                <w:sz w:val="28"/>
                <w:szCs w:val="28"/>
                <w:highlight w:val="yellow"/>
                <w:rtl/>
              </w:rPr>
            </w:pPr>
            <w:r w:rsidRPr="00183171">
              <w:rPr>
                <w:rFonts w:cs="Simplified Arabic"/>
                <w:sz w:val="28"/>
                <w:szCs w:val="28"/>
              </w:rPr>
              <w:t>Société de Personnes</w:t>
            </w:r>
          </w:p>
        </w:tc>
        <w:tc>
          <w:tcPr>
            <w:tcW w:w="5296" w:type="dxa"/>
            <w:tcMar>
              <w:top w:w="170" w:type="dxa"/>
              <w:left w:w="57" w:type="dxa"/>
              <w:bottom w:w="170" w:type="dxa"/>
              <w:right w:w="57" w:type="dxa"/>
            </w:tcMar>
          </w:tcPr>
          <w:p w14:paraId="49F3251A" w14:textId="77777777" w:rsidR="00183171" w:rsidRPr="00183171" w:rsidRDefault="00183171" w:rsidP="0081225E">
            <w:pPr>
              <w:bidi/>
              <w:ind w:firstLine="0"/>
              <w:rPr>
                <w:rFonts w:cs="Simplified Arabic"/>
                <w:sz w:val="28"/>
                <w:szCs w:val="28"/>
                <w:rtl/>
              </w:rPr>
            </w:pPr>
            <w:r w:rsidRPr="00183171">
              <w:rPr>
                <w:rFonts w:cs="Simplified Arabic"/>
                <w:sz w:val="28"/>
                <w:szCs w:val="28"/>
                <w:rtl/>
              </w:rPr>
              <w:t>وهي الشركات التي تقوم على الإعتبار الشخصي، وتتكون أساسا من عدد قليل من الأشخاص تربطهم صلة معينة كصلة القرابة أو الصداقة أو المعرفة.</w:t>
            </w:r>
            <w:r w:rsidRPr="00183171">
              <w:rPr>
                <w:rFonts w:cs="Simplified Arabic" w:hint="cs"/>
                <w:sz w:val="28"/>
                <w:szCs w:val="28"/>
                <w:rtl/>
              </w:rPr>
              <w:t xml:space="preserve"> </w:t>
            </w:r>
            <w:r w:rsidRPr="00183171">
              <w:rPr>
                <w:rFonts w:cs="Simplified Arabic"/>
                <w:sz w:val="28"/>
                <w:szCs w:val="28"/>
                <w:rtl/>
              </w:rPr>
              <w:t>ولذلك يترتب في الأصل على وفاة أحد الشركاء في شركات الأشخاص أو الحجر عليه أو إفلاسه أو انسحابه من الشركة حل الشركة.</w:t>
            </w:r>
          </w:p>
        </w:tc>
      </w:tr>
      <w:tr w:rsidR="00183171" w:rsidRPr="00183171" w14:paraId="291A4734" w14:textId="77777777" w:rsidTr="0081225E">
        <w:trPr>
          <w:cantSplit/>
        </w:trPr>
        <w:tc>
          <w:tcPr>
            <w:tcW w:w="665" w:type="dxa"/>
            <w:tcMar>
              <w:top w:w="170" w:type="dxa"/>
              <w:left w:w="57" w:type="dxa"/>
              <w:bottom w:w="170" w:type="dxa"/>
              <w:right w:w="57" w:type="dxa"/>
            </w:tcMar>
          </w:tcPr>
          <w:p w14:paraId="1AFF43D7"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12</w:t>
            </w:r>
          </w:p>
        </w:tc>
        <w:tc>
          <w:tcPr>
            <w:tcW w:w="1943" w:type="dxa"/>
            <w:tcMar>
              <w:top w:w="170" w:type="dxa"/>
              <w:left w:w="57" w:type="dxa"/>
              <w:bottom w:w="170" w:type="dxa"/>
              <w:right w:w="57" w:type="dxa"/>
            </w:tcMar>
          </w:tcPr>
          <w:p w14:paraId="4DDA450E" w14:textId="77777777" w:rsidR="00183171" w:rsidRPr="00183171" w:rsidRDefault="00183171" w:rsidP="0081225E">
            <w:pPr>
              <w:bidi/>
              <w:ind w:firstLine="0"/>
              <w:rPr>
                <w:rFonts w:cs="Simplified Arabic"/>
                <w:sz w:val="28"/>
                <w:szCs w:val="28"/>
                <w:rtl/>
              </w:rPr>
            </w:pPr>
            <w:r w:rsidRPr="00183171">
              <w:rPr>
                <w:rFonts w:cs="Simplified Arabic" w:hint="cs"/>
                <w:sz w:val="28"/>
                <w:szCs w:val="28"/>
                <w:rtl/>
              </w:rPr>
              <w:t>شركة الأموال</w:t>
            </w:r>
          </w:p>
        </w:tc>
        <w:tc>
          <w:tcPr>
            <w:tcW w:w="2410" w:type="dxa"/>
            <w:tcMar>
              <w:top w:w="170" w:type="dxa"/>
              <w:left w:w="113" w:type="dxa"/>
              <w:bottom w:w="170" w:type="dxa"/>
              <w:right w:w="113" w:type="dxa"/>
            </w:tcMar>
          </w:tcPr>
          <w:p w14:paraId="4997FB88" w14:textId="77777777" w:rsidR="00183171" w:rsidRPr="00183171" w:rsidRDefault="00183171" w:rsidP="0081225E">
            <w:pPr>
              <w:ind w:firstLine="0"/>
              <w:jc w:val="left"/>
              <w:rPr>
                <w:rFonts w:cs="Simplified Arabic"/>
                <w:sz w:val="28"/>
                <w:szCs w:val="28"/>
                <w:highlight w:val="yellow"/>
              </w:rPr>
            </w:pPr>
            <w:r w:rsidRPr="00183171">
              <w:rPr>
                <w:rFonts w:cs="Simplified Arabic"/>
                <w:sz w:val="28"/>
                <w:szCs w:val="28"/>
              </w:rPr>
              <w:t>Société de Capitaux</w:t>
            </w:r>
          </w:p>
        </w:tc>
        <w:tc>
          <w:tcPr>
            <w:tcW w:w="5296" w:type="dxa"/>
            <w:tcMar>
              <w:top w:w="170" w:type="dxa"/>
              <w:left w:w="57" w:type="dxa"/>
              <w:bottom w:w="170" w:type="dxa"/>
              <w:right w:w="57" w:type="dxa"/>
            </w:tcMar>
          </w:tcPr>
          <w:p w14:paraId="66997B41" w14:textId="77777777" w:rsidR="00183171" w:rsidRPr="00183171" w:rsidRDefault="00183171" w:rsidP="0081225E">
            <w:pPr>
              <w:bidi/>
              <w:ind w:firstLine="0"/>
              <w:rPr>
                <w:rFonts w:cs="Simplified Arabic"/>
                <w:sz w:val="28"/>
                <w:szCs w:val="28"/>
                <w:rtl/>
              </w:rPr>
            </w:pPr>
            <w:r w:rsidRPr="00183171">
              <w:rPr>
                <w:rFonts w:cs="Simplified Arabic"/>
                <w:sz w:val="28"/>
                <w:szCs w:val="28"/>
                <w:rtl/>
              </w:rPr>
              <w:t>وهي الشركات التي تقوم أساسا على الإعتبار المالي ولا يكون لشخصية الشريك أثر فيها، فالعبرة في هذه الشركات بما يقدمه كل شريك من مال، ولهذا فإن هذه الشركات لا تتأثر بما قد يطرأ على شخص الشريك كوفاته أو إفلاسه أو الحجر عليه.</w:t>
            </w:r>
          </w:p>
        </w:tc>
      </w:tr>
    </w:tbl>
    <w:p w14:paraId="52DC287C" w14:textId="77777777" w:rsidR="00183171" w:rsidRPr="00183171" w:rsidRDefault="00183171" w:rsidP="00420CFB">
      <w:pPr>
        <w:bidi/>
        <w:ind w:firstLine="0"/>
        <w:jc w:val="center"/>
        <w:rPr>
          <w:sz w:val="28"/>
          <w:szCs w:val="28"/>
        </w:rPr>
      </w:pPr>
    </w:p>
    <w:sectPr w:rsidR="00183171" w:rsidRPr="00183171" w:rsidSect="00183171">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D615" w14:textId="77777777" w:rsidR="00504275" w:rsidRDefault="00504275" w:rsidP="00183171">
      <w:pPr>
        <w:spacing w:line="240" w:lineRule="auto"/>
      </w:pPr>
      <w:r>
        <w:separator/>
      </w:r>
    </w:p>
  </w:endnote>
  <w:endnote w:type="continuationSeparator" w:id="0">
    <w:p w14:paraId="00357119" w14:textId="77777777" w:rsidR="00504275" w:rsidRDefault="00504275" w:rsidP="00183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E01" w14:textId="77777777" w:rsidR="00420CFB" w:rsidRDefault="0042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17B" w14:textId="6D12C4FC" w:rsidR="00183171" w:rsidRDefault="00183171" w:rsidP="00183171">
    <w:pPr>
      <w:pStyle w:val="Footer"/>
      <w:jc w:val="right"/>
    </w:pPr>
    <w:r>
      <w:rPr>
        <w:rFonts w:hint="cs"/>
        <w:rtl/>
      </w:rPr>
      <w:t xml:space="preserve">الثالثة ليسانس </w:t>
    </w:r>
    <w:r>
      <w:rPr>
        <w:rtl/>
      </w:rPr>
      <w:t>–</w:t>
    </w:r>
    <w:r>
      <w:rPr>
        <w:rFonts w:hint="cs"/>
        <w:rtl/>
      </w:rPr>
      <w:t xml:space="preserve"> قانون خاص -  مصطلحات فرنسية</w:t>
    </w:r>
    <w:r>
      <w:rPr>
        <w:rtl/>
      </w:rPr>
      <w:t>–</w:t>
    </w:r>
    <w:r>
      <w:rPr>
        <w:rFonts w:hint="cs"/>
        <w:rtl/>
      </w:rPr>
      <w:t xml:space="preserve">2025/2026 </w:t>
    </w:r>
    <w:r>
      <w:rPr>
        <w:rtl/>
      </w:rPr>
      <w:t>–</w:t>
    </w:r>
    <w:r>
      <w:rPr>
        <w:rFonts w:hint="cs"/>
        <w:rtl/>
      </w:rPr>
      <w:t xml:space="preserve"> السداسي الثان</w:t>
    </w:r>
    <w:r w:rsidR="00420CFB">
      <w:rPr>
        <w:rFonts w:hint="cs"/>
        <w:rtl/>
      </w:rPr>
      <w:t>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BC8" w14:textId="77777777" w:rsidR="00420CFB" w:rsidRDefault="0042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5F47" w14:textId="77777777" w:rsidR="00504275" w:rsidRDefault="00504275" w:rsidP="00183171">
      <w:pPr>
        <w:spacing w:line="240" w:lineRule="auto"/>
      </w:pPr>
      <w:r>
        <w:separator/>
      </w:r>
    </w:p>
  </w:footnote>
  <w:footnote w:type="continuationSeparator" w:id="0">
    <w:p w14:paraId="3B52A9A7" w14:textId="77777777" w:rsidR="00504275" w:rsidRDefault="00504275" w:rsidP="00183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BFA3" w14:textId="77777777" w:rsidR="00420CFB" w:rsidRDefault="00420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357F" w14:textId="77777777" w:rsidR="00420CFB" w:rsidRDefault="0042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586F" w14:textId="77777777" w:rsidR="00420CFB" w:rsidRDefault="00420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71"/>
    <w:rsid w:val="000048E0"/>
    <w:rsid w:val="00183171"/>
    <w:rsid w:val="002B10F2"/>
    <w:rsid w:val="00375E5D"/>
    <w:rsid w:val="00420CFB"/>
    <w:rsid w:val="004B0FF6"/>
    <w:rsid w:val="00503F60"/>
    <w:rsid w:val="00504275"/>
    <w:rsid w:val="007A2A7B"/>
    <w:rsid w:val="009B020E"/>
    <w:rsid w:val="009B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DD5F"/>
  <w15:chartTrackingRefBased/>
  <w15:docId w15:val="{4308A057-3C8C-4084-BE99-852C4F35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71"/>
    <w:pPr>
      <w:spacing w:after="0" w:line="360" w:lineRule="auto"/>
      <w:ind w:firstLine="397"/>
      <w:jc w:val="both"/>
    </w:pPr>
    <w:rPr>
      <w:kern w:val="0"/>
      <w:sz w:val="22"/>
      <w:szCs w:val="22"/>
      <w:lang w:val="fr-FR"/>
      <w14:ligatures w14:val="none"/>
    </w:rPr>
  </w:style>
  <w:style w:type="paragraph" w:styleId="Heading1">
    <w:name w:val="heading 1"/>
    <w:basedOn w:val="Normal"/>
    <w:next w:val="Normal"/>
    <w:link w:val="Heading1Char"/>
    <w:uiPriority w:val="9"/>
    <w:qFormat/>
    <w:rsid w:val="00183171"/>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3171"/>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3171"/>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3171"/>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83171"/>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83171"/>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83171"/>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83171"/>
    <w:pPr>
      <w:keepNext/>
      <w:keepLines/>
      <w:spacing w:line="278" w:lineRule="auto"/>
      <w:ind w:firstLine="0"/>
      <w:jc w:val="left"/>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83171"/>
    <w:pPr>
      <w:keepNext/>
      <w:keepLines/>
      <w:spacing w:line="278" w:lineRule="auto"/>
      <w:ind w:firstLine="0"/>
      <w:jc w:val="left"/>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1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1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1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1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171"/>
    <w:rPr>
      <w:rFonts w:eastAsiaTheme="majorEastAsia" w:cstheme="majorBidi"/>
      <w:color w:val="272727" w:themeColor="text1" w:themeTint="D8"/>
    </w:rPr>
  </w:style>
  <w:style w:type="paragraph" w:styleId="Title">
    <w:name w:val="Title"/>
    <w:basedOn w:val="Normal"/>
    <w:next w:val="Normal"/>
    <w:link w:val="TitleChar"/>
    <w:uiPriority w:val="10"/>
    <w:qFormat/>
    <w:rsid w:val="00183171"/>
    <w:pPr>
      <w:spacing w:after="80" w:line="240" w:lineRule="auto"/>
      <w:ind w:firstLine="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3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171"/>
    <w:pPr>
      <w:numPr>
        <w:ilvl w:val="1"/>
      </w:numPr>
      <w:spacing w:after="160" w:line="278" w:lineRule="auto"/>
      <w:ind w:firstLine="397"/>
      <w:jc w:val="left"/>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3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171"/>
    <w:pPr>
      <w:spacing w:before="160" w:after="160" w:line="278" w:lineRule="auto"/>
      <w:ind w:firstLine="0"/>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83171"/>
    <w:rPr>
      <w:i/>
      <w:iCs/>
      <w:color w:val="404040" w:themeColor="text1" w:themeTint="BF"/>
    </w:rPr>
  </w:style>
  <w:style w:type="paragraph" w:styleId="ListParagraph">
    <w:name w:val="List Paragraph"/>
    <w:basedOn w:val="Normal"/>
    <w:uiPriority w:val="34"/>
    <w:qFormat/>
    <w:rsid w:val="00183171"/>
    <w:pPr>
      <w:spacing w:after="160" w:line="278" w:lineRule="auto"/>
      <w:ind w:left="720" w:firstLine="0"/>
      <w:contextualSpacing/>
      <w:jc w:val="left"/>
    </w:pPr>
    <w:rPr>
      <w:kern w:val="2"/>
      <w:sz w:val="24"/>
      <w:szCs w:val="24"/>
      <w:lang w:val="en-US"/>
      <w14:ligatures w14:val="standardContextual"/>
    </w:rPr>
  </w:style>
  <w:style w:type="character" w:styleId="IntenseEmphasis">
    <w:name w:val="Intense Emphasis"/>
    <w:basedOn w:val="DefaultParagraphFont"/>
    <w:uiPriority w:val="21"/>
    <w:qFormat/>
    <w:rsid w:val="00183171"/>
    <w:rPr>
      <w:i/>
      <w:iCs/>
      <w:color w:val="2F5496" w:themeColor="accent1" w:themeShade="BF"/>
    </w:rPr>
  </w:style>
  <w:style w:type="paragraph" w:styleId="IntenseQuote">
    <w:name w:val="Intense Quote"/>
    <w:basedOn w:val="Normal"/>
    <w:next w:val="Normal"/>
    <w:link w:val="IntenseQuoteChar"/>
    <w:uiPriority w:val="30"/>
    <w:qFormat/>
    <w:rsid w:val="00183171"/>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83171"/>
    <w:rPr>
      <w:i/>
      <w:iCs/>
      <w:color w:val="2F5496" w:themeColor="accent1" w:themeShade="BF"/>
    </w:rPr>
  </w:style>
  <w:style w:type="character" w:styleId="IntenseReference">
    <w:name w:val="Intense Reference"/>
    <w:basedOn w:val="DefaultParagraphFont"/>
    <w:uiPriority w:val="32"/>
    <w:qFormat/>
    <w:rsid w:val="00183171"/>
    <w:rPr>
      <w:b/>
      <w:bCs/>
      <w:smallCaps/>
      <w:color w:val="2F5496" w:themeColor="accent1" w:themeShade="BF"/>
      <w:spacing w:val="5"/>
    </w:rPr>
  </w:style>
  <w:style w:type="table" w:styleId="TableGrid">
    <w:name w:val="Table Grid"/>
    <w:basedOn w:val="TableNormal"/>
    <w:uiPriority w:val="59"/>
    <w:rsid w:val="00183171"/>
    <w:pPr>
      <w:spacing w:after="0" w:line="240" w:lineRule="auto"/>
      <w:ind w:firstLine="397"/>
      <w:jc w:val="both"/>
    </w:pPr>
    <w:rPr>
      <w:kern w:val="0"/>
      <w:sz w:val="22"/>
      <w:szCs w:val="22"/>
      <w:lang w:val="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3171"/>
    <w:pPr>
      <w:tabs>
        <w:tab w:val="center" w:pos="4680"/>
        <w:tab w:val="right" w:pos="9360"/>
      </w:tabs>
      <w:spacing w:line="240" w:lineRule="auto"/>
    </w:pPr>
  </w:style>
  <w:style w:type="character" w:customStyle="1" w:styleId="HeaderChar">
    <w:name w:val="Header Char"/>
    <w:basedOn w:val="DefaultParagraphFont"/>
    <w:link w:val="Header"/>
    <w:uiPriority w:val="99"/>
    <w:rsid w:val="00183171"/>
    <w:rPr>
      <w:kern w:val="0"/>
      <w:sz w:val="22"/>
      <w:szCs w:val="22"/>
      <w:lang w:val="fr-FR"/>
      <w14:ligatures w14:val="none"/>
    </w:rPr>
  </w:style>
  <w:style w:type="paragraph" w:styleId="Footer">
    <w:name w:val="footer"/>
    <w:basedOn w:val="Normal"/>
    <w:link w:val="FooterChar"/>
    <w:uiPriority w:val="99"/>
    <w:unhideWhenUsed/>
    <w:rsid w:val="00183171"/>
    <w:pPr>
      <w:tabs>
        <w:tab w:val="center" w:pos="4680"/>
        <w:tab w:val="right" w:pos="9360"/>
      </w:tabs>
      <w:spacing w:line="240" w:lineRule="auto"/>
    </w:pPr>
  </w:style>
  <w:style w:type="character" w:customStyle="1" w:styleId="FooterChar">
    <w:name w:val="Footer Char"/>
    <w:basedOn w:val="DefaultParagraphFont"/>
    <w:link w:val="Footer"/>
    <w:uiPriority w:val="99"/>
    <w:rsid w:val="00183171"/>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dc:creator>
  <cp:keywords/>
  <dc:description/>
  <cp:lastModifiedBy>E-learning</cp:lastModifiedBy>
  <cp:revision>2</cp:revision>
  <dcterms:created xsi:type="dcterms:W3CDTF">2026-03-05T13:36:00Z</dcterms:created>
  <dcterms:modified xsi:type="dcterms:W3CDTF">2026-03-05T13:41:00Z</dcterms:modified>
</cp:coreProperties>
</file>