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6748D" w14:textId="77777777" w:rsidR="009C4AFC" w:rsidRPr="009C4AFC" w:rsidRDefault="009C4AFC" w:rsidP="009C4AFC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bookmarkStart w:id="0" w:name="_GoBack"/>
      <w:r w:rsidRPr="009C4AFC">
        <w:rPr>
          <w:rFonts w:asciiTheme="majorBidi" w:hAnsiTheme="majorBidi" w:cstheme="majorBidi"/>
          <w:sz w:val="28"/>
          <w:szCs w:val="28"/>
          <w:rtl/>
        </w:rPr>
        <w:t>- مفهوم التوجيه المهني :</w:t>
      </w:r>
    </w:p>
    <w:p w14:paraId="068234F2" w14:textId="77777777" w:rsidR="009C4AFC" w:rsidRPr="009C4AFC" w:rsidRDefault="009C4AFC" w:rsidP="009C4AFC">
      <w:pPr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9C4AFC">
        <w:rPr>
          <w:rFonts w:asciiTheme="majorBidi" w:hAnsiTheme="majorBidi" w:cstheme="majorBidi"/>
          <w:sz w:val="28"/>
          <w:szCs w:val="28"/>
          <w:rtl/>
        </w:rPr>
        <w:t>يشير مفهوم التكوين المهني إلى العملية التي تهدف إلى تحسين وتطوير المهارات والمعارف والخبرات اللازمة لأداء وظائف محددة في سوق العمل</w:t>
      </w:r>
      <w:r w:rsidRPr="009C4AFC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9C4AFC">
        <w:rPr>
          <w:rFonts w:asciiTheme="majorBidi" w:hAnsiTheme="majorBidi" w:cstheme="majorBidi"/>
          <w:sz w:val="28"/>
          <w:szCs w:val="28"/>
        </w:rPr>
        <w:t>Karmel</w:t>
      </w:r>
      <w:proofErr w:type="spellEnd"/>
      <w:r w:rsidRPr="009C4AFC">
        <w:rPr>
          <w:rFonts w:asciiTheme="majorBidi" w:hAnsiTheme="majorBidi" w:cstheme="majorBidi"/>
          <w:sz w:val="28"/>
          <w:szCs w:val="28"/>
        </w:rPr>
        <w:t xml:space="preserve"> &amp; </w:t>
      </w:r>
      <w:proofErr w:type="spellStart"/>
      <w:r w:rsidRPr="009C4AFC">
        <w:rPr>
          <w:rFonts w:asciiTheme="majorBidi" w:hAnsiTheme="majorBidi" w:cstheme="majorBidi"/>
          <w:sz w:val="28"/>
          <w:szCs w:val="28"/>
        </w:rPr>
        <w:t>Mlotkowski</w:t>
      </w:r>
      <w:proofErr w:type="spellEnd"/>
      <w:r w:rsidRPr="009C4AFC">
        <w:rPr>
          <w:rFonts w:asciiTheme="majorBidi" w:hAnsiTheme="majorBidi" w:cstheme="majorBidi"/>
          <w:sz w:val="28"/>
          <w:szCs w:val="28"/>
        </w:rPr>
        <w:t xml:space="preserve">, 2019). </w:t>
      </w:r>
      <w:r w:rsidRPr="009C4AFC">
        <w:rPr>
          <w:rFonts w:asciiTheme="majorBidi" w:hAnsiTheme="majorBidi" w:cstheme="majorBidi"/>
          <w:sz w:val="28"/>
          <w:szCs w:val="28"/>
          <w:rtl/>
        </w:rPr>
        <w:t>يشمل التكوين المهني العديد من الأنشطة، مثل الدورات التدريبية وورش العمل والتدريب الميداني والتعليم الجامعي والتدريب الفني والتعلم عن بعد (الينتي, 2015</w:t>
      </w:r>
      <w:r w:rsidRPr="009C4AFC">
        <w:rPr>
          <w:rFonts w:asciiTheme="majorBidi" w:hAnsiTheme="majorBidi" w:cstheme="majorBidi"/>
          <w:sz w:val="28"/>
          <w:szCs w:val="28"/>
        </w:rPr>
        <w:t>).</w:t>
      </w:r>
    </w:p>
    <w:p w14:paraId="4C35D4B9" w14:textId="77777777" w:rsidR="009C4AFC" w:rsidRPr="009C4AFC" w:rsidRDefault="009C4AFC" w:rsidP="009C4AFC">
      <w:pPr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9C4AFC">
        <w:rPr>
          <w:rFonts w:asciiTheme="majorBidi" w:hAnsiTheme="majorBidi" w:cstheme="majorBidi"/>
          <w:sz w:val="28"/>
          <w:szCs w:val="28"/>
          <w:rtl/>
        </w:rPr>
        <w:t>وتُعدّ التكوين المهني جزءًا أساسيًا من الحياة المهنية، حيث يساعد العمال والموظفون في اكتساب المهارات والمعرفة اللازمة لتحسين أدائهم والنجاح في وظائفهم</w:t>
      </w:r>
      <w:r w:rsidRPr="009C4AFC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9C4AFC">
        <w:rPr>
          <w:rFonts w:asciiTheme="majorBidi" w:hAnsiTheme="majorBidi" w:cstheme="majorBidi"/>
          <w:sz w:val="28"/>
          <w:szCs w:val="28"/>
        </w:rPr>
        <w:t>Karmel</w:t>
      </w:r>
      <w:proofErr w:type="spellEnd"/>
      <w:r w:rsidRPr="009C4AFC">
        <w:rPr>
          <w:rFonts w:asciiTheme="majorBidi" w:hAnsiTheme="majorBidi" w:cstheme="majorBidi"/>
          <w:sz w:val="28"/>
          <w:szCs w:val="28"/>
        </w:rPr>
        <w:t xml:space="preserve"> &amp; </w:t>
      </w:r>
      <w:proofErr w:type="spellStart"/>
      <w:r w:rsidRPr="009C4AFC">
        <w:rPr>
          <w:rFonts w:asciiTheme="majorBidi" w:hAnsiTheme="majorBidi" w:cstheme="majorBidi"/>
          <w:sz w:val="28"/>
          <w:szCs w:val="28"/>
        </w:rPr>
        <w:t>Mlotkowski</w:t>
      </w:r>
      <w:proofErr w:type="spellEnd"/>
      <w:r w:rsidRPr="009C4AFC">
        <w:rPr>
          <w:rFonts w:asciiTheme="majorBidi" w:hAnsiTheme="majorBidi" w:cstheme="majorBidi"/>
          <w:sz w:val="28"/>
          <w:szCs w:val="28"/>
        </w:rPr>
        <w:t>, 2019).</w:t>
      </w:r>
    </w:p>
    <w:p w14:paraId="482E8883" w14:textId="77777777" w:rsidR="009C4AFC" w:rsidRPr="009C4AFC" w:rsidRDefault="009C4AFC" w:rsidP="009C4AFC">
      <w:pPr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9C4AFC">
        <w:rPr>
          <w:rFonts w:asciiTheme="majorBidi" w:hAnsiTheme="majorBidi" w:cstheme="majorBidi"/>
          <w:sz w:val="28"/>
          <w:szCs w:val="28"/>
          <w:rtl/>
        </w:rPr>
        <w:t>وتهدف الدورات التدريبية في التكوين المهني إلى تزويد العمال بالمهارات والمعرفة اللازمة للقيام بالمهام المطلوبة في الوظيفة، وتحسين أدائهم وإنتاجيتهم</w:t>
      </w:r>
      <w:r w:rsidRPr="009C4AFC">
        <w:rPr>
          <w:rFonts w:asciiTheme="majorBidi" w:hAnsiTheme="majorBidi" w:cstheme="majorBidi"/>
          <w:sz w:val="28"/>
          <w:szCs w:val="28"/>
        </w:rPr>
        <w:t xml:space="preserve"> (Nassar-McMillan &amp; Borders, 2014).</w:t>
      </w:r>
    </w:p>
    <w:p w14:paraId="3C37D21F" w14:textId="77777777" w:rsidR="009C4AFC" w:rsidRPr="009C4AFC" w:rsidRDefault="009C4AFC" w:rsidP="009C4AFC">
      <w:pPr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9C4AFC">
        <w:rPr>
          <w:rFonts w:asciiTheme="majorBidi" w:hAnsiTheme="majorBidi" w:cstheme="majorBidi"/>
          <w:sz w:val="28"/>
          <w:szCs w:val="28"/>
          <w:rtl/>
        </w:rPr>
        <w:t>كما تساعد التدريبات الميدانية في تقديم فرصة للعمال لتطبيق المهارات النظرية والعملية التي اكتسبوها في بيئة العمل الحقيقية، وبالتالي تحسين مهاراتهم والاستعداد لمتطلبات الوظيفة</w:t>
      </w:r>
      <w:r w:rsidRPr="009C4AFC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9C4AFC">
        <w:rPr>
          <w:rFonts w:asciiTheme="majorBidi" w:hAnsiTheme="majorBidi" w:cstheme="majorBidi"/>
          <w:sz w:val="28"/>
          <w:szCs w:val="28"/>
        </w:rPr>
        <w:t>Karmel</w:t>
      </w:r>
      <w:proofErr w:type="spellEnd"/>
      <w:r w:rsidRPr="009C4AFC">
        <w:rPr>
          <w:rFonts w:asciiTheme="majorBidi" w:hAnsiTheme="majorBidi" w:cstheme="majorBidi"/>
          <w:sz w:val="28"/>
          <w:szCs w:val="28"/>
        </w:rPr>
        <w:t xml:space="preserve"> &amp; </w:t>
      </w:r>
      <w:proofErr w:type="spellStart"/>
      <w:r w:rsidRPr="009C4AFC">
        <w:rPr>
          <w:rFonts w:asciiTheme="majorBidi" w:hAnsiTheme="majorBidi" w:cstheme="majorBidi"/>
          <w:sz w:val="28"/>
          <w:szCs w:val="28"/>
        </w:rPr>
        <w:t>Mlotkowski</w:t>
      </w:r>
      <w:proofErr w:type="spellEnd"/>
      <w:r w:rsidRPr="009C4AFC">
        <w:rPr>
          <w:rFonts w:asciiTheme="majorBidi" w:hAnsiTheme="majorBidi" w:cstheme="majorBidi"/>
          <w:sz w:val="28"/>
          <w:szCs w:val="28"/>
        </w:rPr>
        <w:t>, 2019).</w:t>
      </w:r>
    </w:p>
    <w:p w14:paraId="4484C282" w14:textId="77777777" w:rsidR="009C4AFC" w:rsidRPr="009C4AFC" w:rsidRDefault="009C4AFC" w:rsidP="009C4AFC">
      <w:pPr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9C4AFC">
        <w:rPr>
          <w:rFonts w:asciiTheme="majorBidi" w:hAnsiTheme="majorBidi" w:cstheme="majorBidi"/>
          <w:sz w:val="28"/>
          <w:szCs w:val="28"/>
          <w:rtl/>
        </w:rPr>
        <w:t>بجانب ذلك، تساعد الدورات الجامعية والتدريب الفني في تزويد الطلاب والمتدربين بالمهارات والمعرفة اللازمة لمهن محددة، والاستعداد للانخراط في سوق العمل</w:t>
      </w:r>
      <w:r w:rsidRPr="009C4AFC">
        <w:rPr>
          <w:rFonts w:asciiTheme="majorBidi" w:hAnsiTheme="majorBidi" w:cstheme="majorBidi"/>
          <w:sz w:val="28"/>
          <w:szCs w:val="28"/>
        </w:rPr>
        <w:t xml:space="preserve"> (Nassar-McMillan &amp; Borders, 2014).</w:t>
      </w:r>
    </w:p>
    <w:p w14:paraId="3426C780" w14:textId="77777777" w:rsidR="009C4AFC" w:rsidRPr="009C4AFC" w:rsidRDefault="009C4AFC" w:rsidP="009C4AFC">
      <w:pPr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9C4AFC">
        <w:rPr>
          <w:rFonts w:asciiTheme="majorBidi" w:hAnsiTheme="majorBidi" w:cstheme="majorBidi"/>
          <w:sz w:val="28"/>
          <w:szCs w:val="28"/>
          <w:rtl/>
        </w:rPr>
        <w:t>ويشير التعلم عن بعد في التكوين المهني إلى استخدام التكنولوجيا والإنترنت لتوفير التعليم والتدريب للأفراد، ويتميز بالمرونة و</w:t>
      </w:r>
    </w:p>
    <w:p w14:paraId="4EC03DE9" w14:textId="77777777" w:rsidR="009C4AFC" w:rsidRPr="009C4AFC" w:rsidRDefault="009C4AFC" w:rsidP="009C4AFC">
      <w:pPr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9C4AFC">
        <w:rPr>
          <w:rFonts w:asciiTheme="majorBidi" w:hAnsiTheme="majorBidi" w:cstheme="majorBidi"/>
          <w:sz w:val="28"/>
          <w:szCs w:val="28"/>
          <w:rtl/>
        </w:rPr>
        <w:t>توفير الوقت والتكاليف، والوصول إلى المواد التعليمية والتدريبية في أي وقت ومن أي مكان (الينتي، 2015)</w:t>
      </w:r>
      <w:r w:rsidRPr="009C4AFC">
        <w:rPr>
          <w:rFonts w:asciiTheme="majorBidi" w:hAnsiTheme="majorBidi" w:cstheme="majorBidi"/>
          <w:sz w:val="28"/>
          <w:szCs w:val="28"/>
        </w:rPr>
        <w:t>.</w:t>
      </w:r>
    </w:p>
    <w:p w14:paraId="4013E744" w14:textId="77777777" w:rsidR="009C4AFC" w:rsidRPr="009C4AFC" w:rsidRDefault="009C4AFC" w:rsidP="009C4AFC">
      <w:pPr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9C4AFC">
        <w:rPr>
          <w:rFonts w:asciiTheme="majorBidi" w:hAnsiTheme="majorBidi" w:cstheme="majorBidi"/>
          <w:sz w:val="28"/>
          <w:szCs w:val="28"/>
          <w:rtl/>
        </w:rPr>
        <w:t>يمكن أن يساعد التكوين المهني في تعزيز فرص العمال في الحصول على الوظائف التي يرغبون فيها، وزيادة فرصهم للترقي في مساراتهم المهنية</w:t>
      </w:r>
      <w:r w:rsidRPr="009C4AFC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9C4AFC">
        <w:rPr>
          <w:rFonts w:asciiTheme="majorBidi" w:hAnsiTheme="majorBidi" w:cstheme="majorBidi"/>
          <w:sz w:val="28"/>
          <w:szCs w:val="28"/>
        </w:rPr>
        <w:t>Karmel</w:t>
      </w:r>
      <w:proofErr w:type="spellEnd"/>
      <w:r w:rsidRPr="009C4AFC">
        <w:rPr>
          <w:rFonts w:asciiTheme="majorBidi" w:hAnsiTheme="majorBidi" w:cstheme="majorBidi"/>
          <w:sz w:val="28"/>
          <w:szCs w:val="28"/>
        </w:rPr>
        <w:t xml:space="preserve"> &amp; </w:t>
      </w:r>
      <w:proofErr w:type="spellStart"/>
      <w:r w:rsidRPr="009C4AFC">
        <w:rPr>
          <w:rFonts w:asciiTheme="majorBidi" w:hAnsiTheme="majorBidi" w:cstheme="majorBidi"/>
          <w:sz w:val="28"/>
          <w:szCs w:val="28"/>
        </w:rPr>
        <w:t>Mlotkowski</w:t>
      </w:r>
      <w:proofErr w:type="spellEnd"/>
      <w:r w:rsidRPr="009C4AFC">
        <w:rPr>
          <w:rFonts w:asciiTheme="majorBidi" w:hAnsiTheme="majorBidi" w:cstheme="majorBidi"/>
          <w:sz w:val="28"/>
          <w:szCs w:val="28"/>
        </w:rPr>
        <w:t>, 2019).</w:t>
      </w:r>
    </w:p>
    <w:p w14:paraId="569BEA74" w14:textId="77777777" w:rsidR="009C4AFC" w:rsidRPr="009C4AFC" w:rsidRDefault="009C4AFC" w:rsidP="009C4AFC">
      <w:pPr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9C4AFC">
        <w:rPr>
          <w:rFonts w:asciiTheme="majorBidi" w:hAnsiTheme="majorBidi" w:cstheme="majorBidi"/>
          <w:sz w:val="28"/>
          <w:szCs w:val="28"/>
          <w:rtl/>
        </w:rPr>
        <w:t xml:space="preserve">       وبشكل عام، يعد التكوين المهني عنصرًا أساسيًا في تطوير الموارد البشرية وزيادة الإنتاجية في الشركات والمؤسسات والدول، ويعد الاستثمار في التكوين المهني من الاستثمارات الأكثر ربحية على المدى الطويل</w:t>
      </w:r>
      <w:r w:rsidRPr="009C4AFC">
        <w:rPr>
          <w:rFonts w:asciiTheme="majorBidi" w:hAnsiTheme="majorBidi" w:cstheme="majorBidi"/>
          <w:sz w:val="28"/>
          <w:szCs w:val="28"/>
        </w:rPr>
        <w:t xml:space="preserve"> (Nassar-McMillan &amp; Borders, 2014).</w:t>
      </w:r>
    </w:p>
    <w:p w14:paraId="367E3A4F" w14:textId="77777777" w:rsidR="009C4AFC" w:rsidRPr="009C4AFC" w:rsidRDefault="009C4AFC" w:rsidP="009C4AFC">
      <w:pPr>
        <w:bidi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C4AFC">
        <w:rPr>
          <w:rFonts w:asciiTheme="majorBidi" w:hAnsiTheme="majorBidi" w:cstheme="majorBidi"/>
          <w:b/>
          <w:bCs/>
          <w:sz w:val="28"/>
          <w:szCs w:val="28"/>
          <w:rtl/>
        </w:rPr>
        <w:t>المراجع</w:t>
      </w:r>
      <w:r w:rsidRPr="009C4AFC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238FBE32" w14:textId="77777777" w:rsidR="009C4AFC" w:rsidRPr="009C4AFC" w:rsidRDefault="009C4AFC" w:rsidP="009C4AFC">
      <w:pPr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9C4AFC">
        <w:rPr>
          <w:rFonts w:asciiTheme="majorBidi" w:hAnsiTheme="majorBidi" w:cstheme="majorBidi"/>
          <w:sz w:val="28"/>
          <w:szCs w:val="28"/>
        </w:rPr>
        <w:t>Karmel</w:t>
      </w:r>
      <w:proofErr w:type="spellEnd"/>
      <w:r w:rsidRPr="009C4AFC">
        <w:rPr>
          <w:rFonts w:asciiTheme="majorBidi" w:hAnsiTheme="majorBidi" w:cstheme="majorBidi"/>
          <w:sz w:val="28"/>
          <w:szCs w:val="28"/>
        </w:rPr>
        <w:t xml:space="preserve">, T., &amp; </w:t>
      </w:r>
      <w:proofErr w:type="spellStart"/>
      <w:r w:rsidRPr="009C4AFC">
        <w:rPr>
          <w:rFonts w:asciiTheme="majorBidi" w:hAnsiTheme="majorBidi" w:cstheme="majorBidi"/>
          <w:sz w:val="28"/>
          <w:szCs w:val="28"/>
        </w:rPr>
        <w:t>Mlotkowski</w:t>
      </w:r>
      <w:proofErr w:type="spellEnd"/>
      <w:r w:rsidRPr="009C4AFC">
        <w:rPr>
          <w:rFonts w:asciiTheme="majorBidi" w:hAnsiTheme="majorBidi" w:cstheme="majorBidi"/>
          <w:sz w:val="28"/>
          <w:szCs w:val="28"/>
        </w:rPr>
        <w:t>, P. (2019). Workforce development and training programs: A six-step guide to success. Routledge.</w:t>
      </w:r>
    </w:p>
    <w:p w14:paraId="5C80414E" w14:textId="77777777" w:rsidR="009C4AFC" w:rsidRPr="009C4AFC" w:rsidRDefault="009C4AFC" w:rsidP="009C4AFC">
      <w:pPr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9C4AFC">
        <w:rPr>
          <w:rFonts w:asciiTheme="majorBidi" w:hAnsiTheme="majorBidi" w:cstheme="majorBidi"/>
          <w:sz w:val="28"/>
          <w:szCs w:val="28"/>
        </w:rPr>
        <w:t>Nassar-McMillan, S. C., &amp; Borders, L. D. (2014). The handbook of counseling and counselor education: Career counseling. John Wiley &amp; Sons.</w:t>
      </w:r>
    </w:p>
    <w:p w14:paraId="3F562F91" w14:textId="77777777" w:rsidR="009C4AFC" w:rsidRPr="009C4AFC" w:rsidRDefault="009C4AFC" w:rsidP="009C4AFC">
      <w:pPr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9C4AFC">
        <w:rPr>
          <w:rFonts w:asciiTheme="majorBidi" w:hAnsiTheme="majorBidi" w:cstheme="majorBidi"/>
          <w:sz w:val="28"/>
          <w:szCs w:val="28"/>
          <w:rtl/>
        </w:rPr>
        <w:lastRenderedPageBreak/>
        <w:t>الينتي، ن. (2015). التكوين المهني عن بعد: دراسة ميدانية في ولاية تيبازة. مجلة جامعة عبد الحميد بن باديس, 5</w:t>
      </w:r>
      <w:r w:rsidRPr="009C4AFC">
        <w:rPr>
          <w:rFonts w:asciiTheme="majorBidi" w:hAnsiTheme="majorBidi" w:cstheme="majorBidi"/>
          <w:sz w:val="28"/>
          <w:szCs w:val="28"/>
        </w:rPr>
        <w:t>(2).</w:t>
      </w:r>
    </w:p>
    <w:bookmarkEnd w:id="0"/>
    <w:p w14:paraId="700306A5" w14:textId="77777777" w:rsidR="006477E1" w:rsidRPr="009C4AFC" w:rsidRDefault="006477E1" w:rsidP="009C4AFC">
      <w:pPr>
        <w:bidi/>
        <w:jc w:val="both"/>
        <w:rPr>
          <w:rFonts w:asciiTheme="majorBidi" w:hAnsiTheme="majorBidi" w:cstheme="majorBidi"/>
          <w:sz w:val="28"/>
          <w:szCs w:val="28"/>
        </w:rPr>
      </w:pPr>
    </w:p>
    <w:sectPr w:rsidR="006477E1" w:rsidRPr="009C4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63D38"/>
    <w:multiLevelType w:val="hybridMultilevel"/>
    <w:tmpl w:val="BFBE6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94C81"/>
    <w:multiLevelType w:val="hybridMultilevel"/>
    <w:tmpl w:val="487C5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FC"/>
    <w:rsid w:val="006477E1"/>
    <w:rsid w:val="00953E5E"/>
    <w:rsid w:val="009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D4F17"/>
  <w15:chartTrackingRefBased/>
  <w15:docId w15:val="{8E36261A-6EE2-47DD-9A87-5E164FD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53E5E"/>
    <w:pPr>
      <w:keepNext/>
      <w:keepLines/>
      <w:bidi/>
      <w:spacing w:before="40" w:after="0"/>
      <w:outlineLvl w:val="1"/>
    </w:pPr>
    <w:rPr>
      <w:rFonts w:asciiTheme="majorBidi" w:eastAsiaTheme="majorEastAsia" w:hAnsiTheme="majorBidi" w:cstheme="majorBidi"/>
      <w:b/>
      <w:color w:val="2F5496" w:themeColor="accent1" w:themeShade="BF"/>
      <w:sz w:val="3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3E5E"/>
    <w:rPr>
      <w:rFonts w:asciiTheme="majorBidi" w:eastAsiaTheme="majorEastAsia" w:hAnsiTheme="majorBidi" w:cstheme="majorBidi"/>
      <w:b/>
      <w:color w:val="2F5496" w:themeColor="accent1" w:themeShade="BF"/>
      <w:sz w:val="3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hichem kerbouche</dc:creator>
  <cp:keywords/>
  <dc:description/>
  <cp:lastModifiedBy>hichem kerbouche</cp:lastModifiedBy>
  <cp:revision>1</cp:revision>
  <dcterms:created xsi:type="dcterms:W3CDTF">2023-03-21T08:15:00Z</dcterms:created>
  <dcterms:modified xsi:type="dcterms:W3CDTF">2023-03-21T08:16:00Z</dcterms:modified>
</cp:coreProperties>
</file>