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E6D9" w14:textId="77777777" w:rsidR="00D211B7" w:rsidRDefault="00D211B7" w:rsidP="00D211B7">
      <w:pPr>
        <w:pStyle w:val="Titre"/>
        <w:rPr>
          <w:rFonts w:ascii="Times New Roman" w:hAnsi="Times New Roman" w:cs="Times New Roman"/>
          <w:color w:val="44546A" w:themeColor="text2"/>
        </w:rPr>
      </w:pPr>
      <w:r w:rsidRPr="001F760D">
        <w:rPr>
          <w:rFonts w:ascii="Times New Roman" w:hAnsi="Times New Roman" w:cs="Times New Roman"/>
          <w:color w:val="44546A" w:themeColor="text2"/>
        </w:rPr>
        <w:t>Intertextualité </w:t>
      </w:r>
    </w:p>
    <w:p w14:paraId="5A0DFC41" w14:textId="77777777" w:rsidR="00D211B7" w:rsidRPr="00AA348C" w:rsidRDefault="00D211B7" w:rsidP="00D211B7"/>
    <w:p w14:paraId="65933941" w14:textId="77777777" w:rsidR="00D211B7" w:rsidRPr="00027846" w:rsidRDefault="00D211B7" w:rsidP="00D211B7">
      <w:pPr>
        <w:jc w:val="right"/>
        <w:rPr>
          <w:rFonts w:ascii="Times New Roman" w:hAnsi="Times New Roman" w:cs="Times New Roman"/>
          <w:sz w:val="24"/>
          <w:szCs w:val="24"/>
        </w:rPr>
      </w:pPr>
      <w:r w:rsidRPr="00027846">
        <w:rPr>
          <w:rFonts w:ascii="Times New Roman" w:hAnsi="Times New Roman" w:cs="Times New Roman"/>
          <w:sz w:val="24"/>
          <w:szCs w:val="24"/>
        </w:rPr>
        <w:t>« </w:t>
      </w:r>
      <w:r w:rsidRPr="00AA348C">
        <w:rPr>
          <w:rFonts w:ascii="Times New Roman" w:hAnsi="Times New Roman" w:cs="Times New Roman"/>
          <w:i/>
          <w:iCs/>
          <w:sz w:val="24"/>
          <w:szCs w:val="24"/>
        </w:rPr>
        <w:t>Tout texte est absorption et transformation d’un autre texte </w:t>
      </w:r>
      <w:r>
        <w:rPr>
          <w:rFonts w:ascii="Times New Roman" w:hAnsi="Times New Roman" w:cs="Times New Roman"/>
          <w:sz w:val="24"/>
          <w:szCs w:val="24"/>
        </w:rPr>
        <w:t xml:space="preserve">» Julia </w:t>
      </w:r>
      <w:r w:rsidRPr="000278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risteva.</w:t>
      </w:r>
    </w:p>
    <w:p w14:paraId="5C08652D" w14:textId="77777777" w:rsidR="00D211B7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E6522" w14:textId="77777777" w:rsidR="00D211B7" w:rsidRPr="00027846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027846">
        <w:rPr>
          <w:rFonts w:ascii="Times New Roman" w:hAnsi="Times New Roman" w:cs="Times New Roman"/>
          <w:sz w:val="24"/>
          <w:szCs w:val="24"/>
        </w:rPr>
        <w:t xml:space="preserve">La notion d’intertextualité, proposée pour la première fois par </w:t>
      </w:r>
      <w:r w:rsidRPr="00027846">
        <w:rPr>
          <w:rFonts w:ascii="Times New Roman" w:hAnsi="Times New Roman" w:cs="Times New Roman"/>
          <w:b/>
          <w:bCs/>
          <w:sz w:val="24"/>
          <w:szCs w:val="24"/>
        </w:rPr>
        <w:t>Julia Kristeva</w:t>
      </w:r>
      <w:r w:rsidRPr="00027846">
        <w:rPr>
          <w:rFonts w:ascii="Times New Roman" w:hAnsi="Times New Roman" w:cs="Times New Roman"/>
          <w:sz w:val="24"/>
          <w:szCs w:val="24"/>
        </w:rPr>
        <w:t xml:space="preserve">, émerge dans le discours littéraire vers la fin des </w:t>
      </w:r>
      <w:r w:rsidRPr="00027846">
        <w:rPr>
          <w:rFonts w:ascii="Times New Roman" w:hAnsi="Times New Roman" w:cs="Times New Roman"/>
          <w:b/>
          <w:bCs/>
          <w:sz w:val="24"/>
          <w:szCs w:val="24"/>
        </w:rPr>
        <w:t>années 60</w:t>
      </w:r>
      <w:r w:rsidRPr="00027846">
        <w:rPr>
          <w:rFonts w:ascii="Times New Roman" w:hAnsi="Times New Roman" w:cs="Times New Roman"/>
          <w:sz w:val="24"/>
          <w:szCs w:val="24"/>
        </w:rPr>
        <w:t xml:space="preserve">. Malgré les polémiques que cette notion va engendrer, elle parviendra à s’imposer très rapidement au point de devenir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27846">
        <w:rPr>
          <w:rFonts w:ascii="Times New Roman" w:hAnsi="Times New Roman" w:cs="Times New Roman"/>
          <w:sz w:val="24"/>
          <w:szCs w:val="24"/>
        </w:rPr>
        <w:t xml:space="preserve"> passage obligé de nombreuses analyses littéraires. </w:t>
      </w:r>
      <w:r w:rsidRPr="000278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1AB7DF" w14:textId="77777777" w:rsidR="00D211B7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027846">
        <w:rPr>
          <w:rFonts w:ascii="Times New Roman" w:hAnsi="Times New Roman" w:cs="Times New Roman"/>
          <w:sz w:val="24"/>
          <w:szCs w:val="24"/>
        </w:rPr>
        <w:t xml:space="preserve">Si le concept d’intertextualité apparaît comme essentiellement moderne, il recouvre pourtant des pratiques très anciennes et que l’on peut faire remonter aux origines mêmes de la littérature. En effet, tout texte – on le sait au moins depuis Bakhtine – se construit, explicitement ou non, à travers la reprise d’autres textes. Kristeva va ainsi monter que le roman médiéval de </w:t>
      </w:r>
      <w:r w:rsidRPr="00027846">
        <w:rPr>
          <w:rFonts w:ascii="Times New Roman" w:hAnsi="Times New Roman" w:cs="Times New Roman"/>
          <w:b/>
          <w:sz w:val="24"/>
          <w:szCs w:val="24"/>
        </w:rPr>
        <w:t xml:space="preserve">Jehan de </w:t>
      </w:r>
      <w:proofErr w:type="spellStart"/>
      <w:r w:rsidRPr="00027846">
        <w:rPr>
          <w:rFonts w:ascii="Times New Roman" w:hAnsi="Times New Roman" w:cs="Times New Roman"/>
          <w:b/>
          <w:sz w:val="24"/>
          <w:szCs w:val="24"/>
        </w:rPr>
        <w:t>Saintré</w:t>
      </w:r>
      <w:proofErr w:type="spellEnd"/>
      <w:r w:rsidRPr="00027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846">
        <w:rPr>
          <w:rFonts w:ascii="Times New Roman" w:hAnsi="Times New Roman" w:cs="Times New Roman"/>
          <w:sz w:val="24"/>
          <w:szCs w:val="24"/>
        </w:rPr>
        <w:t xml:space="preserve">peut se définir comme l’intersection entre les textes scolastiques, la poésie courtoise, la littérature orale des villes et le discours du carnaval. </w:t>
      </w:r>
    </w:p>
    <w:p w14:paraId="520CBCC7" w14:textId="77777777" w:rsidR="00D211B7" w:rsidRPr="00027846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pourrait également donner l’exemple des contes des </w:t>
      </w:r>
      <w:r>
        <w:rPr>
          <w:rFonts w:ascii="Times New Roman" w:hAnsi="Times New Roman" w:cs="Times New Roman"/>
          <w:i/>
          <w:iCs/>
          <w:sz w:val="24"/>
          <w:szCs w:val="24"/>
        </w:rPr>
        <w:t>Mille</w:t>
      </w:r>
      <w:r w:rsidRPr="00BD6EDB">
        <w:rPr>
          <w:rFonts w:ascii="Times New Roman" w:hAnsi="Times New Roman" w:cs="Times New Roman"/>
          <w:i/>
          <w:iCs/>
          <w:sz w:val="24"/>
          <w:szCs w:val="24"/>
        </w:rPr>
        <w:t xml:space="preserve"> et nuits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Pr="002F2F3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J.-C.) où le conte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marin comporte un certain nombre de similitudes avec </w:t>
      </w:r>
      <w:r w:rsidRPr="00AA348C">
        <w:rPr>
          <w:rFonts w:ascii="Times New Roman" w:hAnsi="Times New Roman" w:cs="Times New Roman"/>
          <w:i/>
          <w:iCs/>
          <w:sz w:val="24"/>
          <w:szCs w:val="24"/>
        </w:rPr>
        <w:t>L’Odyssée</w:t>
      </w:r>
      <w:r>
        <w:rPr>
          <w:rFonts w:ascii="Times New Roman" w:hAnsi="Times New Roman" w:cs="Times New Roman"/>
          <w:sz w:val="24"/>
          <w:szCs w:val="24"/>
        </w:rPr>
        <w:t xml:space="preserve"> d’Homère (8</w:t>
      </w:r>
      <w:r w:rsidRPr="002F2F3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 av. J.-C.) Ou plus récemment, dans la littérature algérienne, le roman </w:t>
      </w:r>
      <w:r w:rsidRPr="00AA348C">
        <w:rPr>
          <w:rFonts w:ascii="Times New Roman" w:hAnsi="Times New Roman" w:cs="Times New Roman"/>
          <w:i/>
          <w:iCs/>
          <w:sz w:val="24"/>
          <w:szCs w:val="24"/>
        </w:rPr>
        <w:t>Meursault contre-enquête</w:t>
      </w:r>
      <w:r>
        <w:rPr>
          <w:rFonts w:ascii="Times New Roman" w:hAnsi="Times New Roman" w:cs="Times New Roman"/>
          <w:sz w:val="24"/>
          <w:szCs w:val="24"/>
        </w:rPr>
        <w:t xml:space="preserve"> de Kamel Daoud qui s’inspire directement de </w:t>
      </w:r>
      <w:r w:rsidRPr="00AA348C">
        <w:rPr>
          <w:rFonts w:ascii="Times New Roman" w:hAnsi="Times New Roman" w:cs="Times New Roman"/>
          <w:i/>
          <w:iCs/>
          <w:sz w:val="24"/>
          <w:szCs w:val="24"/>
        </w:rPr>
        <w:t xml:space="preserve">L’Etranger </w:t>
      </w:r>
      <w:r>
        <w:rPr>
          <w:rFonts w:ascii="Times New Roman" w:hAnsi="Times New Roman" w:cs="Times New Roman"/>
          <w:sz w:val="24"/>
          <w:szCs w:val="24"/>
        </w:rPr>
        <w:t xml:space="preserve">et de </w:t>
      </w:r>
      <w:r w:rsidRPr="00AA348C">
        <w:rPr>
          <w:rFonts w:ascii="Times New Roman" w:hAnsi="Times New Roman" w:cs="Times New Roman"/>
          <w:i/>
          <w:iCs/>
          <w:sz w:val="24"/>
          <w:szCs w:val="24"/>
        </w:rPr>
        <w:t xml:space="preserve">La Chute </w:t>
      </w:r>
      <w:r>
        <w:rPr>
          <w:rFonts w:ascii="Times New Roman" w:hAnsi="Times New Roman" w:cs="Times New Roman"/>
          <w:sz w:val="24"/>
          <w:szCs w:val="24"/>
        </w:rPr>
        <w:t>d’Albert Camus.</w:t>
      </w:r>
    </w:p>
    <w:p w14:paraId="4DB3052B" w14:textId="77777777" w:rsidR="00D211B7" w:rsidRPr="002F2F3B" w:rsidRDefault="00D211B7" w:rsidP="00D211B7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2F2F3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Définition l’intertextualité </w:t>
      </w:r>
    </w:p>
    <w:p w14:paraId="67DA2B85" w14:textId="77777777" w:rsidR="00D211B7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2F2F3B">
        <w:rPr>
          <w:rFonts w:ascii="Times New Roman" w:hAnsi="Times New Roman" w:cs="Times New Roman"/>
          <w:bCs/>
          <w:sz w:val="24"/>
          <w:szCs w:val="24"/>
          <w:highlight w:val="green"/>
        </w:rPr>
        <w:t>Julia Kristeva</w:t>
      </w:r>
      <w:r w:rsidRPr="002F2F3B">
        <w:rPr>
          <w:rFonts w:ascii="Times New Roman" w:hAnsi="Times New Roman" w:cs="Times New Roman"/>
          <w:bCs/>
          <w:sz w:val="24"/>
          <w:szCs w:val="24"/>
        </w:rPr>
        <w:t xml:space="preserve"> définit l’intertextualité comme le fait qu’</w:t>
      </w:r>
      <w:r w:rsidRPr="002F2F3B">
        <w:rPr>
          <w:rFonts w:ascii="Times New Roman" w:hAnsi="Times New Roman" w:cs="Times New Roman"/>
          <w:b/>
          <w:sz w:val="24"/>
          <w:szCs w:val="24"/>
        </w:rPr>
        <w:t>aucun texte ne peut s’écrire séparément de ce qui a déjà été écrit. Autrement dit, aucune œuvre ne peut se créer ex nihilo</w:t>
      </w:r>
      <w:r w:rsidRPr="002F2F3B">
        <w:rPr>
          <w:rFonts w:ascii="Times New Roman" w:hAnsi="Times New Roman" w:cs="Times New Roman"/>
          <w:bCs/>
          <w:sz w:val="24"/>
          <w:szCs w:val="24"/>
        </w:rPr>
        <w:t xml:space="preserve"> (en partant de rien, du néant). De ce fait, </w:t>
      </w:r>
      <w:r w:rsidRPr="002F2F3B">
        <w:rPr>
          <w:rFonts w:ascii="Times New Roman" w:hAnsi="Times New Roman" w:cs="Times New Roman"/>
          <w:bCs/>
          <w:sz w:val="24"/>
          <w:szCs w:val="24"/>
          <w:highlight w:val="yellow"/>
        </w:rPr>
        <w:t>tout texte littéraire porte nécessairement en lui, de manière plus ou moins visible, la trace, la mémoire d’un héritage et d’une tradition</w:t>
      </w:r>
      <w:r w:rsidRPr="002F2F3B">
        <w:rPr>
          <w:rFonts w:ascii="Times New Roman" w:hAnsi="Times New Roman" w:cs="Times New Roman"/>
          <w:bCs/>
          <w:sz w:val="24"/>
          <w:szCs w:val="24"/>
        </w:rPr>
        <w:t>. Cette définition de l’intertextualité emprunt beaucoup au dialogisme de Bakhtine selon lequel la littérarité naîtrait des transformations de différents éléments culturels et linguistiques au sein texte particulier</w:t>
      </w:r>
      <w:r w:rsidRPr="002F2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4728C" w14:textId="77777777" w:rsidR="00D211B7" w:rsidRPr="002F2F3B" w:rsidRDefault="00D211B7" w:rsidP="00D211B7">
      <w:pPr>
        <w:jc w:val="both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2F2F3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La transtextualité de Gérard Genette</w:t>
      </w:r>
    </w:p>
    <w:p w14:paraId="066B278D" w14:textId="77777777" w:rsidR="00D211B7" w:rsidRPr="002F2F3B" w:rsidRDefault="00D211B7" w:rsidP="00D211B7">
      <w:pPr>
        <w:rPr>
          <w:rFonts w:ascii="Times New Roman" w:hAnsi="Times New Roman" w:cs="Times New Roman"/>
          <w:sz w:val="24"/>
          <w:szCs w:val="24"/>
        </w:rPr>
      </w:pPr>
      <w:r w:rsidRPr="002F2F3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Gérard</w:t>
      </w:r>
      <w:r w:rsidRPr="002F2F3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2F2F3B">
        <w:rPr>
          <w:rFonts w:ascii="Times New Roman" w:hAnsi="Times New Roman" w:cs="Times New Roman"/>
          <w:b/>
          <w:sz w:val="24"/>
          <w:szCs w:val="24"/>
          <w:highlight w:val="green"/>
        </w:rPr>
        <w:t>Genette</w:t>
      </w:r>
      <w:r w:rsidRPr="002F2F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2F3B">
        <w:rPr>
          <w:rFonts w:ascii="Times New Roman" w:hAnsi="Times New Roman" w:cs="Times New Roman"/>
          <w:bCs/>
          <w:sz w:val="24"/>
          <w:szCs w:val="24"/>
        </w:rPr>
        <w:t>quant à lui, voit dans la notion d’intertextualité </w:t>
      </w:r>
      <w:r w:rsidRPr="002F2F3B">
        <w:rPr>
          <w:rFonts w:ascii="Times New Roman" w:hAnsi="Times New Roman" w:cs="Times New Roman"/>
          <w:b/>
          <w:sz w:val="24"/>
          <w:szCs w:val="24"/>
        </w:rPr>
        <w:t>:</w:t>
      </w:r>
      <w:r w:rsidRPr="002F2F3B">
        <w:rPr>
          <w:rFonts w:ascii="Times New Roman" w:hAnsi="Times New Roman" w:cs="Times New Roman"/>
          <w:sz w:val="24"/>
          <w:szCs w:val="24"/>
        </w:rPr>
        <w:t xml:space="preserve"> </w:t>
      </w:r>
      <w:r w:rsidRPr="002F2F3B">
        <w:rPr>
          <w:rFonts w:ascii="Times New Roman" w:hAnsi="Times New Roman" w:cs="Times New Roman"/>
          <w:sz w:val="24"/>
          <w:szCs w:val="24"/>
          <w:highlight w:val="yellow"/>
        </w:rPr>
        <w:t>la présence objective d’un texte dans un autre texte</w:t>
      </w:r>
      <w:r w:rsidRPr="002F2F3B">
        <w:rPr>
          <w:rFonts w:ascii="Times New Roman" w:hAnsi="Times New Roman" w:cs="Times New Roman"/>
          <w:sz w:val="24"/>
          <w:szCs w:val="24"/>
        </w:rPr>
        <w:t xml:space="preserve">. Cette présence peut prendre la forme d’un </w:t>
      </w:r>
      <w:r w:rsidRPr="002F2F3B">
        <w:rPr>
          <w:rFonts w:ascii="Times New Roman" w:hAnsi="Times New Roman" w:cs="Times New Roman"/>
          <w:b/>
          <w:bCs/>
          <w:sz w:val="24"/>
          <w:szCs w:val="24"/>
        </w:rPr>
        <w:t>plagiat</w:t>
      </w:r>
      <w:r w:rsidRPr="002F2F3B">
        <w:rPr>
          <w:rFonts w:ascii="Times New Roman" w:hAnsi="Times New Roman" w:cs="Times New Roman"/>
          <w:sz w:val="24"/>
          <w:szCs w:val="24"/>
        </w:rPr>
        <w:t xml:space="preserve">, d’une </w:t>
      </w:r>
      <w:r w:rsidRPr="002F2F3B">
        <w:rPr>
          <w:rFonts w:ascii="Times New Roman" w:hAnsi="Times New Roman" w:cs="Times New Roman"/>
          <w:b/>
          <w:bCs/>
          <w:sz w:val="24"/>
          <w:szCs w:val="24"/>
        </w:rPr>
        <w:t>citation</w:t>
      </w:r>
      <w:r w:rsidRPr="002F2F3B">
        <w:rPr>
          <w:rFonts w:ascii="Times New Roman" w:hAnsi="Times New Roman" w:cs="Times New Roman"/>
          <w:sz w:val="24"/>
          <w:szCs w:val="24"/>
        </w:rPr>
        <w:t xml:space="preserve">, d’une </w:t>
      </w:r>
      <w:r w:rsidRPr="002F2F3B">
        <w:rPr>
          <w:rFonts w:ascii="Times New Roman" w:hAnsi="Times New Roman" w:cs="Times New Roman"/>
          <w:b/>
          <w:bCs/>
          <w:sz w:val="24"/>
          <w:szCs w:val="24"/>
        </w:rPr>
        <w:t>allusion</w:t>
      </w:r>
      <w:r w:rsidRPr="002F2F3B">
        <w:rPr>
          <w:rFonts w:ascii="Times New Roman" w:hAnsi="Times New Roman" w:cs="Times New Roman"/>
          <w:sz w:val="24"/>
          <w:szCs w:val="24"/>
        </w:rPr>
        <w:t xml:space="preserve">… Par exemple on trouve des citations textuelles de la Bible dans toute l’œuvre de Dostoïevski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F2F3B">
        <w:rPr>
          <w:rFonts w:ascii="Times New Roman" w:hAnsi="Times New Roman" w:cs="Times New Roman"/>
          <w:sz w:val="24"/>
          <w:szCs w:val="24"/>
        </w:rPr>
        <w:t>des allusions à l’</w:t>
      </w:r>
      <w:r w:rsidRPr="002F2F3B">
        <w:rPr>
          <w:rFonts w:ascii="Times New Roman" w:hAnsi="Times New Roman" w:cs="Times New Roman"/>
          <w:i/>
          <w:iCs/>
          <w:sz w:val="24"/>
          <w:szCs w:val="24"/>
        </w:rPr>
        <w:t>Iphigénie</w:t>
      </w:r>
      <w:r w:rsidRPr="002F2F3B">
        <w:rPr>
          <w:rFonts w:ascii="Times New Roman" w:hAnsi="Times New Roman" w:cs="Times New Roman"/>
          <w:sz w:val="24"/>
          <w:szCs w:val="24"/>
        </w:rPr>
        <w:t xml:space="preserve"> de Racine dans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F2F3B">
        <w:rPr>
          <w:rFonts w:ascii="Times New Roman" w:hAnsi="Times New Roman" w:cs="Times New Roman"/>
          <w:i/>
          <w:iCs/>
          <w:sz w:val="24"/>
          <w:szCs w:val="24"/>
        </w:rPr>
        <w:t>’Ingénu</w:t>
      </w:r>
      <w:r w:rsidRPr="002F2F3B">
        <w:rPr>
          <w:rFonts w:ascii="Times New Roman" w:hAnsi="Times New Roman" w:cs="Times New Roman"/>
          <w:sz w:val="24"/>
          <w:szCs w:val="24"/>
        </w:rPr>
        <w:t xml:space="preserve"> de Voltaire.   </w:t>
      </w:r>
    </w:p>
    <w:p w14:paraId="57D8F2A9" w14:textId="77777777" w:rsidR="00D211B7" w:rsidRPr="002F2F3B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2F2F3B">
        <w:rPr>
          <w:rFonts w:ascii="Times New Roman" w:hAnsi="Times New Roman" w:cs="Times New Roman"/>
          <w:sz w:val="24"/>
          <w:szCs w:val="24"/>
        </w:rPr>
        <w:lastRenderedPageBreak/>
        <w:t>Par ailleurs, Genette préférera le terme générique</w:t>
      </w:r>
      <w:r w:rsidRPr="002F2F3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2F2F3B">
        <w:rPr>
          <w:rFonts w:ascii="Times New Roman" w:hAnsi="Times New Roman" w:cs="Times New Roman"/>
          <w:sz w:val="24"/>
          <w:szCs w:val="24"/>
        </w:rPr>
        <w:t xml:space="preserve"> de </w:t>
      </w:r>
      <w:r w:rsidRPr="00765BD4">
        <w:rPr>
          <w:rFonts w:ascii="Times New Roman" w:hAnsi="Times New Roman" w:cs="Times New Roman"/>
          <w:sz w:val="24"/>
          <w:szCs w:val="24"/>
          <w:highlight w:val="yellow"/>
        </w:rPr>
        <w:t>transtextualité</w:t>
      </w:r>
      <w:r w:rsidRPr="002F2F3B">
        <w:rPr>
          <w:rFonts w:ascii="Times New Roman" w:hAnsi="Times New Roman" w:cs="Times New Roman"/>
          <w:sz w:val="24"/>
          <w:szCs w:val="24"/>
        </w:rPr>
        <w:t xml:space="preserve"> à celui d’intertextualité. Pour lui, la transtextualité englobe l’intertextualité qui n’est en réalité qu’un type de relation parmi d’autres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2F2F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21E34" w14:textId="77777777" w:rsidR="00D211B7" w:rsidRPr="00765BD4" w:rsidRDefault="00D211B7" w:rsidP="00D211B7">
      <w:pPr>
        <w:pStyle w:val="Par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La</w:t>
      </w:r>
      <w:r w:rsidRPr="00765BD4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paratextualité</w:t>
      </w:r>
      <w:r w:rsidRPr="00765BD4">
        <w:rPr>
          <w:rFonts w:ascii="Times New Roman" w:hAnsi="Times New Roman" w:cs="Times New Roman"/>
          <w:color w:val="44546A" w:themeColor="text2"/>
          <w:sz w:val="28"/>
          <w:szCs w:val="28"/>
        </w:rPr>
        <w:t> </w:t>
      </w:r>
      <w:r w:rsidRPr="00765B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AD7E71" w14:textId="77777777" w:rsidR="00D211B7" w:rsidRPr="00765BD4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765BD4">
        <w:rPr>
          <w:rFonts w:ascii="Times New Roman" w:hAnsi="Times New Roman" w:cs="Times New Roman"/>
          <w:sz w:val="24"/>
          <w:szCs w:val="24"/>
        </w:rPr>
        <w:t xml:space="preserve">Le paratexte a pour objectif d’ouvrir un horizon d’attente chez le lecteur et de nouer le contrat de lecture. Vincent Jouve le définit comme </w:t>
      </w:r>
      <w:r w:rsidRPr="00765B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tout ce qui entoure le texte sans être le texte lui-même</w:t>
      </w:r>
      <w:r w:rsidRPr="0076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BD4">
        <w:rPr>
          <w:rFonts w:ascii="Times New Roman" w:hAnsi="Times New Roman" w:cs="Times New Roman"/>
          <w:sz w:val="24"/>
          <w:szCs w:val="24"/>
          <w:highlight w:val="yellow"/>
        </w:rPr>
        <w:t>(titre, préface, postface, illustration de la couverture, quatrième de couverture…).</w:t>
      </w:r>
      <w:r w:rsidRPr="00765BD4">
        <w:rPr>
          <w:rFonts w:ascii="Times New Roman" w:hAnsi="Times New Roman" w:cs="Times New Roman"/>
          <w:sz w:val="24"/>
          <w:szCs w:val="24"/>
        </w:rPr>
        <w:t xml:space="preserve"> Ces éléments entourent le texte et le prolongent précisément pour le présenter. La paratextualité correspond donc à la relation entre le texte et son paratexte.  </w:t>
      </w:r>
    </w:p>
    <w:p w14:paraId="7BD88ED0" w14:textId="77777777" w:rsidR="00D211B7" w:rsidRPr="00765BD4" w:rsidRDefault="00D211B7" w:rsidP="00D211B7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La métatextualité </w:t>
      </w:r>
      <w:r w:rsidRPr="00765B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DEBB2A1" w14:textId="77777777" w:rsidR="00D211B7" w:rsidRPr="00765BD4" w:rsidRDefault="00D211B7" w:rsidP="00D211B7">
      <w:pPr>
        <w:rPr>
          <w:rFonts w:ascii="Times New Roman" w:hAnsi="Times New Roman" w:cs="Times New Roman"/>
          <w:sz w:val="24"/>
          <w:szCs w:val="24"/>
        </w:rPr>
      </w:pPr>
      <w:r w:rsidRPr="00765BD4">
        <w:rPr>
          <w:rFonts w:ascii="Times New Roman" w:hAnsi="Times New Roman" w:cs="Times New Roman"/>
          <w:sz w:val="24"/>
          <w:szCs w:val="24"/>
        </w:rPr>
        <w:t xml:space="preserve">Elle </w:t>
      </w:r>
      <w:r w:rsidRPr="0076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renvoie </w:t>
      </w:r>
      <w:r w:rsidRPr="00765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 la relation de commentaire entre les textes</w:t>
      </w:r>
      <w:r w:rsidRPr="00765B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5BD4">
        <w:rPr>
          <w:rFonts w:ascii="Times New Roman" w:hAnsi="Times New Roman" w:cs="Times New Roman"/>
          <w:sz w:val="24"/>
          <w:szCs w:val="24"/>
        </w:rPr>
        <w:t xml:space="preserve"> On la rencontre essentiellement dans les textes critiques, mais aussi, parfois dans les romans. On trouve ainsi dans </w:t>
      </w:r>
      <w:r>
        <w:rPr>
          <w:rFonts w:ascii="Times New Roman" w:hAnsi="Times New Roman" w:cs="Times New Roman"/>
          <w:i/>
          <w:sz w:val="24"/>
          <w:szCs w:val="24"/>
        </w:rPr>
        <w:t>L’I</w:t>
      </w:r>
      <w:r w:rsidRPr="00765BD4">
        <w:rPr>
          <w:rFonts w:ascii="Times New Roman" w:hAnsi="Times New Roman" w:cs="Times New Roman"/>
          <w:i/>
          <w:sz w:val="24"/>
          <w:szCs w:val="24"/>
        </w:rPr>
        <w:t>ngénu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BD4">
        <w:rPr>
          <w:rFonts w:ascii="Times New Roman" w:hAnsi="Times New Roman" w:cs="Times New Roman"/>
          <w:sz w:val="24"/>
          <w:szCs w:val="24"/>
        </w:rPr>
        <w:t>de Voltaire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(1767)</w:t>
      </w:r>
      <w:r w:rsidRPr="00765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BD4">
        <w:rPr>
          <w:rFonts w:ascii="Times New Roman" w:hAnsi="Times New Roman" w:cs="Times New Roman"/>
          <w:sz w:val="24"/>
          <w:szCs w:val="24"/>
        </w:rPr>
        <w:t xml:space="preserve">un commentaire critique sur les tragédies de Corneille et de Racine. </w:t>
      </w: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Pr="00765BD4">
        <w:rPr>
          <w:rFonts w:ascii="Times New Roman" w:hAnsi="Times New Roman" w:cs="Times New Roman"/>
          <w:i/>
          <w:iCs/>
          <w:sz w:val="24"/>
          <w:szCs w:val="24"/>
        </w:rPr>
        <w:t>Donquichotte</w:t>
      </w:r>
      <w:r>
        <w:rPr>
          <w:rFonts w:ascii="Times New Roman" w:hAnsi="Times New Roman" w:cs="Times New Roman"/>
          <w:sz w:val="24"/>
          <w:szCs w:val="24"/>
        </w:rPr>
        <w:t xml:space="preserve"> de Cervantès (1605), les personnages critiquent les romans de chevalerie du Moyen-Âge.</w:t>
      </w:r>
    </w:p>
    <w:p w14:paraId="1630A814" w14:textId="77777777" w:rsidR="00D211B7" w:rsidRPr="00765BD4" w:rsidRDefault="00D211B7" w:rsidP="00D211B7">
      <w:pPr>
        <w:pStyle w:val="Par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L’</w:t>
      </w:r>
      <w:proofErr w:type="spellStart"/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hypertextualité</w:t>
      </w:r>
      <w:proofErr w:type="spellEnd"/>
      <w:r w:rsidRPr="00765BD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 </w:t>
      </w:r>
      <w:r w:rsidRPr="00765B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3ACB5B8" w14:textId="77777777" w:rsidR="00D211B7" w:rsidRPr="007A4A7E" w:rsidRDefault="00D211B7" w:rsidP="00D2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4A0B" wp14:editId="08778488">
                <wp:simplePos x="0" y="0"/>
                <wp:positionH relativeFrom="column">
                  <wp:posOffset>-48260</wp:posOffset>
                </wp:positionH>
                <wp:positionV relativeFrom="paragraph">
                  <wp:posOffset>960120</wp:posOffset>
                </wp:positionV>
                <wp:extent cx="5829300" cy="2855595"/>
                <wp:effectExtent l="0" t="0" r="1270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55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B0BF" w14:textId="77777777" w:rsidR="00D211B7" w:rsidRDefault="00D211B7" w:rsidP="00D211B7">
                            <w:pPr>
                              <w:pStyle w:val="Notedebasdepag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1F8E16" w14:textId="77777777" w:rsidR="00D211B7" w:rsidRPr="007A4A7E" w:rsidRDefault="00D211B7" w:rsidP="00D211B7">
                            <w:pPr>
                              <w:pStyle w:val="Notedebasdepage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</w:pPr>
                            <w:r w:rsidRPr="005974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Pastiche 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 xml:space="preserve">Œuvre artistique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 xml:space="preserve">ou 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>littéraire où l’on imite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 xml:space="preserve"> les traits stylistiques d’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>un auteur en écrivant à sa manière.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 xml:space="preserve"> Exemple : De 1904 à 1906, Marcel Proust a pastiché, dans une série d’articles parus dans </w:t>
                            </w:r>
                            <w:r w:rsidRPr="007A4A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>Le Figaro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fr-FR"/>
                              </w:rPr>
                              <w:t>, des auteurs comme Sainte-Beuve, Flaubert, Balzac, etc. Proust considérait le pastiche comme une forme d’apprentissage et de critique littéraire.</w:t>
                            </w:r>
                          </w:p>
                          <w:p w14:paraId="799AE81C" w14:textId="77777777" w:rsidR="00D211B7" w:rsidRDefault="00D211B7" w:rsidP="00D211B7">
                            <w:pPr>
                              <w:pStyle w:val="Notedebasdepage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6C77FC5" w14:textId="77777777" w:rsidR="00D211B7" w:rsidRPr="007A4A7E" w:rsidRDefault="00D211B7" w:rsidP="00D211B7">
                            <w:pPr>
                              <w:pStyle w:val="Notedebasdepage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74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Parodie 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 xml:space="preserve">: œuvre artistique ou littéraire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où 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>l’on imite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où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 xml:space="preserve"> l’on caricature un auteur dans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</w:rPr>
                              <w:t xml:space="preserve"> but de faire rire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765BD4">
                              <w:rPr>
                                <w:rFonts w:ascii="Times New Roman" w:hAnsi="Times New Roman" w:cs="Times New Roman"/>
                              </w:rPr>
                              <w:t xml:space="preserve">La pièce théâtrale </w:t>
                            </w:r>
                            <w:r w:rsidRPr="00765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l’Impromptu des philosophes </w:t>
                            </w:r>
                            <w:r w:rsidRPr="00765BD4">
                              <w:rPr>
                                <w:rFonts w:ascii="Times New Roman" w:hAnsi="Times New Roman" w:cs="Times New Roman"/>
                              </w:rPr>
                              <w:t>de Camus se présente comme la parodie de</w:t>
                            </w:r>
                            <w:r w:rsidRPr="00765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L’être et le néant </w:t>
                            </w:r>
                            <w:r w:rsidRPr="00765BD4">
                              <w:rPr>
                                <w:rFonts w:ascii="Times New Roman" w:hAnsi="Times New Roman" w:cs="Times New Roman"/>
                              </w:rPr>
                              <w:t>de Sartre.</w:t>
                            </w:r>
                          </w:p>
                          <w:p w14:paraId="6E7D7D4F" w14:textId="77777777" w:rsidR="00D211B7" w:rsidRDefault="00D211B7" w:rsidP="00D211B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3D2A3F" w14:textId="77777777" w:rsidR="00D211B7" w:rsidRPr="005974BC" w:rsidRDefault="00D211B7" w:rsidP="00D211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974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Transposition</w:t>
                            </w:r>
                            <w:r w:rsidRPr="00597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Action de faire passer une œuvre dans un autre domaine en l'adaptant à des conditions nouvelles, à un contexte différent. Par exemple, les roman 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Game of </w:t>
                            </w:r>
                            <w:proofErr w:type="spellStart"/>
                            <w:r w:rsidRPr="005974B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Thrones</w:t>
                            </w:r>
                            <w:proofErr w:type="spellEnd"/>
                            <w:r w:rsidRPr="005974B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974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de George. R.R Martin a été transposé et transformé en série télévisuelle.  </w:t>
                            </w:r>
                          </w:p>
                          <w:p w14:paraId="488A981D" w14:textId="77777777" w:rsidR="00D211B7" w:rsidRDefault="00D211B7" w:rsidP="00D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4A0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3.8pt;margin-top:75.6pt;width:459pt;height:2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" fillcolor="#f6f8fc [180]" stroked="f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638EB0BF" w14:textId="77777777" w:rsidR="00D211B7" w:rsidRDefault="00D211B7" w:rsidP="00D211B7">
                      <w:pPr>
                        <w:pStyle w:val="Notedebasdepage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1F8E16" w14:textId="77777777" w:rsidR="00D211B7" w:rsidRPr="007A4A7E" w:rsidRDefault="00D211B7" w:rsidP="00D211B7">
                      <w:pPr>
                        <w:pStyle w:val="Notedebasdepage"/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</w:pPr>
                      <w:r w:rsidRPr="005974B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Pastiche 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 xml:space="preserve">Œuvre artistique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 xml:space="preserve">ou 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>littéraire où l’on imite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 xml:space="preserve"> les traits stylistiques d’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>un auteur en écrivant à sa manière.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 xml:space="preserve"> Exemple : De 1904 à 1906, Marcel Proust a pastiché, dans une série d’articles parus dans </w:t>
                      </w:r>
                      <w:r w:rsidRPr="007A4A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fr-FR"/>
                        </w:rPr>
                        <w:t>Le Figaro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fr-FR"/>
                        </w:rPr>
                        <w:t>, des auteurs comme Sainte-Beuve, Flaubert, Balzac, etc. Proust considérait le pastiche comme une forme d’apprentissage et de critique littéraire.</w:t>
                      </w:r>
                    </w:p>
                    <w:p w14:paraId="799AE81C" w14:textId="77777777" w:rsidR="00D211B7" w:rsidRDefault="00D211B7" w:rsidP="00D211B7">
                      <w:pPr>
                        <w:pStyle w:val="Notedebasdepage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6C77FC5" w14:textId="77777777" w:rsidR="00D211B7" w:rsidRPr="007A4A7E" w:rsidRDefault="00D211B7" w:rsidP="00D211B7">
                      <w:pPr>
                        <w:pStyle w:val="Notedebasdepage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974B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Parodie 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 xml:space="preserve">: œuvre artistique ou littéraire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où 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>l’on imite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où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 xml:space="preserve"> l’on caricature un auteur dans </w:t>
                      </w:r>
                      <w:r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5974BC">
                        <w:rPr>
                          <w:rFonts w:ascii="Times New Roman" w:hAnsi="Times New Roman" w:cs="Times New Roman"/>
                        </w:rPr>
                        <w:t xml:space="preserve"> but de faire rire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765BD4">
                        <w:rPr>
                          <w:rFonts w:ascii="Times New Roman" w:hAnsi="Times New Roman" w:cs="Times New Roman"/>
                        </w:rPr>
                        <w:t xml:space="preserve">La pièce théâtrale </w:t>
                      </w:r>
                      <w:r w:rsidRPr="00765BD4">
                        <w:rPr>
                          <w:rFonts w:ascii="Times New Roman" w:hAnsi="Times New Roman" w:cs="Times New Roman"/>
                          <w:i/>
                        </w:rPr>
                        <w:t xml:space="preserve">l’Impromptu des philosophes </w:t>
                      </w:r>
                      <w:r w:rsidRPr="00765BD4">
                        <w:rPr>
                          <w:rFonts w:ascii="Times New Roman" w:hAnsi="Times New Roman" w:cs="Times New Roman"/>
                        </w:rPr>
                        <w:t>de Camus se présente comme la parodie de</w:t>
                      </w:r>
                      <w:r w:rsidRPr="00765BD4">
                        <w:rPr>
                          <w:rFonts w:ascii="Times New Roman" w:hAnsi="Times New Roman" w:cs="Times New Roman"/>
                          <w:i/>
                        </w:rPr>
                        <w:t xml:space="preserve"> L’être et le néant </w:t>
                      </w:r>
                      <w:r w:rsidRPr="00765BD4">
                        <w:rPr>
                          <w:rFonts w:ascii="Times New Roman" w:hAnsi="Times New Roman" w:cs="Times New Roman"/>
                        </w:rPr>
                        <w:t>de Sartre.</w:t>
                      </w:r>
                    </w:p>
                    <w:p w14:paraId="6E7D7D4F" w14:textId="77777777" w:rsidR="00D211B7" w:rsidRDefault="00D211B7" w:rsidP="00D211B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3D2A3F" w14:textId="77777777" w:rsidR="00D211B7" w:rsidRPr="005974BC" w:rsidRDefault="00D211B7" w:rsidP="00D211B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974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Transposition</w:t>
                      </w:r>
                      <w:r w:rsidRPr="00597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Action de faire passer une œuvre dans un autre domaine en l'adaptant à des conditions nouvelles, à un contexte différent. Par exemple, les roman 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Game of </w:t>
                      </w:r>
                      <w:proofErr w:type="spellStart"/>
                      <w:r w:rsidRPr="005974B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Thrones</w:t>
                      </w:r>
                      <w:proofErr w:type="spellEnd"/>
                      <w:r w:rsidRPr="005974B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974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de George. R.R Martin a été transposé et transformé en série télévisuelle.  </w:t>
                      </w:r>
                    </w:p>
                    <w:p w14:paraId="488A981D" w14:textId="77777777" w:rsidR="00D211B7" w:rsidRDefault="00D211B7" w:rsidP="00D211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Elle recouvre </w:t>
      </w:r>
      <w:r w:rsidRPr="00765BD4">
        <w:rPr>
          <w:rFonts w:ascii="Times New Roman" w:hAnsi="Times New Roman" w:cs="Times New Roman"/>
          <w:b/>
          <w:bCs/>
          <w:sz w:val="24"/>
          <w:szCs w:val="24"/>
        </w:rPr>
        <w:t xml:space="preserve">tous les types de transformation qu’un texte </w:t>
      </w:r>
      <w:r w:rsidRPr="00765B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765BD4">
        <w:rPr>
          <w:rFonts w:ascii="Times New Roman" w:hAnsi="Times New Roman" w:cs="Times New Roman"/>
          <w:b/>
          <w:bCs/>
          <w:sz w:val="24"/>
          <w:szCs w:val="24"/>
        </w:rPr>
        <w:t xml:space="preserve"> peut faire subir à un texte </w:t>
      </w:r>
      <w:r w:rsidRPr="00765B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B</w:t>
      </w:r>
      <w:r w:rsidRPr="00765BD4">
        <w:rPr>
          <w:rFonts w:ascii="Times New Roman" w:hAnsi="Times New Roman" w:cs="Times New Roman"/>
          <w:b/>
          <w:bCs/>
          <w:sz w:val="24"/>
          <w:szCs w:val="24"/>
        </w:rPr>
        <w:t xml:space="preserve"> sur lequel il se greffe</w:t>
      </w:r>
      <w:r w:rsidRPr="00765BD4">
        <w:rPr>
          <w:rFonts w:ascii="Times New Roman" w:hAnsi="Times New Roman" w:cs="Times New Roman"/>
          <w:sz w:val="24"/>
          <w:szCs w:val="24"/>
        </w:rPr>
        <w:t xml:space="preserve">. Elle renvoie essentiellement au </w:t>
      </w:r>
      <w:r w:rsidRPr="007863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pastiche</w:t>
      </w:r>
      <w:r w:rsidRPr="00765BD4">
        <w:rPr>
          <w:rFonts w:ascii="Times New Roman" w:hAnsi="Times New Roman" w:cs="Times New Roman"/>
          <w:sz w:val="24"/>
          <w:szCs w:val="24"/>
        </w:rPr>
        <w:t xml:space="preserve"> à la </w:t>
      </w:r>
      <w:r w:rsidRPr="007863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parodie</w:t>
      </w:r>
      <w:r w:rsidRPr="00765BD4">
        <w:rPr>
          <w:rFonts w:ascii="Times New Roman" w:hAnsi="Times New Roman" w:cs="Times New Roman"/>
          <w:sz w:val="24"/>
          <w:szCs w:val="24"/>
        </w:rPr>
        <w:t xml:space="preserve"> les modes de </w:t>
      </w:r>
      <w:r w:rsidRPr="005974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transposition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BD4">
        <w:rPr>
          <w:rFonts w:ascii="Times New Roman" w:hAnsi="Times New Roman" w:cs="Times New Roman"/>
          <w:sz w:val="24"/>
          <w:szCs w:val="24"/>
        </w:rPr>
        <w:t xml:space="preserve">et d’imitation. L’hypertexte se présente comme le développement d’un texte premier appelé </w:t>
      </w:r>
      <w:proofErr w:type="spellStart"/>
      <w:r w:rsidRPr="00765BD4">
        <w:rPr>
          <w:rFonts w:ascii="Times New Roman" w:hAnsi="Times New Roman" w:cs="Times New Roman"/>
          <w:sz w:val="24"/>
          <w:szCs w:val="24"/>
        </w:rPr>
        <w:t>hypotexte</w:t>
      </w:r>
      <w:proofErr w:type="spellEnd"/>
      <w:r w:rsidRPr="00765B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4455B" w14:textId="77777777" w:rsidR="00D211B7" w:rsidRPr="007A4A7E" w:rsidRDefault="00D211B7" w:rsidP="00D211B7">
      <w:pPr>
        <w:pStyle w:val="Pardeliste"/>
        <w:rPr>
          <w:rFonts w:ascii="Times New Roman" w:hAnsi="Times New Roman" w:cs="Times New Roman"/>
        </w:rPr>
      </w:pPr>
    </w:p>
    <w:p w14:paraId="4BA5BB61" w14:textId="77777777" w:rsidR="00D211B7" w:rsidRPr="007A4A7E" w:rsidRDefault="00D211B7" w:rsidP="00D211B7">
      <w:pPr>
        <w:pStyle w:val="Pardeliste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A4A7E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Pr="007A4A7E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L’architextualité : </w:t>
      </w:r>
    </w:p>
    <w:p w14:paraId="301253E0" w14:textId="77777777" w:rsidR="00D211B7" w:rsidRPr="007A4A7E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Elle renvoie la relation du texte avec d’autres textes du même genre</w:t>
      </w:r>
      <w:r w:rsidRPr="007A4A7E">
        <w:rPr>
          <w:rFonts w:ascii="Times New Roman" w:hAnsi="Times New Roman" w:cs="Times New Roman"/>
          <w:sz w:val="24"/>
          <w:szCs w:val="24"/>
        </w:rPr>
        <w:t xml:space="preserve">. L’appartenance d’un roman donné au genre policier, fantastique…est déterminante pour sa forme son contenu et l’horizon d’attente du lecteur. Par exemple, </w:t>
      </w:r>
      <w:proofErr w:type="spellStart"/>
      <w:r w:rsidRPr="007A4A7E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A4A7E">
        <w:rPr>
          <w:rFonts w:ascii="Times New Roman" w:hAnsi="Times New Roman" w:cs="Times New Roman"/>
          <w:sz w:val="24"/>
          <w:szCs w:val="24"/>
        </w:rPr>
        <w:t xml:space="preserve"> les romans autobiographiques fonctionnent de la même manière (du moins en principe) et offrent au lecteur le même pacte de lecture.</w:t>
      </w:r>
    </w:p>
    <w:p w14:paraId="4A2897D5" w14:textId="77777777" w:rsidR="00D211B7" w:rsidRDefault="00D211B7" w:rsidP="00D211B7">
      <w:pPr>
        <w:rPr>
          <w:b/>
        </w:rPr>
      </w:pPr>
    </w:p>
    <w:p w14:paraId="1255AFF5" w14:textId="77777777" w:rsidR="00D211B7" w:rsidRPr="007A4A7E" w:rsidRDefault="00D211B7" w:rsidP="00D211B7">
      <w:pPr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A4A7E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Les sept fonctions de l’intertextualité (ou de la transtextualité) : </w:t>
      </w:r>
    </w:p>
    <w:p w14:paraId="7C4BFADB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référentielle </w:t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07F5">
        <w:rPr>
          <w:rFonts w:ascii="Times New Roman" w:hAnsi="Times New Roman" w:cs="Times New Roman"/>
          <w:sz w:val="24"/>
          <w:szCs w:val="24"/>
        </w:rPr>
        <w:t>le récit fictif en se référant à un texte connu du lecteur donne l’illusion qu’il se reporte à la réalité.</w:t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7F5">
        <w:rPr>
          <w:rFonts w:ascii="Times New Roman" w:hAnsi="Times New Roman" w:cs="Times New Roman"/>
          <w:bCs/>
          <w:sz w:val="24"/>
          <w:szCs w:val="24"/>
        </w:rPr>
        <w:t xml:space="preserve">Par exemple dans </w:t>
      </w:r>
      <w:r w:rsidRPr="004907F5">
        <w:rPr>
          <w:rFonts w:ascii="Times New Roman" w:hAnsi="Times New Roman" w:cs="Times New Roman"/>
          <w:bCs/>
          <w:i/>
          <w:iCs/>
          <w:sz w:val="24"/>
          <w:szCs w:val="24"/>
        </w:rPr>
        <w:t>L’Ingénu</w:t>
      </w:r>
      <w:r w:rsidRPr="004907F5">
        <w:rPr>
          <w:rFonts w:ascii="Times New Roman" w:hAnsi="Times New Roman" w:cs="Times New Roman"/>
          <w:bCs/>
          <w:sz w:val="24"/>
          <w:szCs w:val="24"/>
        </w:rPr>
        <w:t xml:space="preserve"> de Voltaire, le personnage fictif, en évoquant les textes bien réels de Racine et de Corneille, donne au lecteur cultivé l’illusion qu’il parage la même réalité que lui.  </w:t>
      </w:r>
    </w:p>
    <w:p w14:paraId="09E38DE3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éthique </w:t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07F5">
        <w:rPr>
          <w:rFonts w:ascii="Times New Roman" w:hAnsi="Times New Roman" w:cs="Times New Roman"/>
          <w:sz w:val="24"/>
          <w:szCs w:val="24"/>
        </w:rPr>
        <w:t xml:space="preserve">le renvoi intertextuel, témoigne de la culture du narrateur et renforce sa crédibilité, son </w:t>
      </w:r>
      <w:r w:rsidRPr="004907F5">
        <w:rPr>
          <w:rFonts w:ascii="Times New Roman" w:hAnsi="Times New Roman" w:cs="Times New Roman"/>
          <w:i/>
          <w:iCs/>
          <w:sz w:val="24"/>
          <w:szCs w:val="24"/>
        </w:rPr>
        <w:t>ethos</w:t>
      </w:r>
      <w:r w:rsidRPr="004907F5">
        <w:rPr>
          <w:rFonts w:ascii="Times New Roman" w:hAnsi="Times New Roman" w:cs="Times New Roman"/>
          <w:sz w:val="24"/>
          <w:szCs w:val="24"/>
        </w:rPr>
        <w:t>.</w:t>
      </w:r>
    </w:p>
    <w:p w14:paraId="79C6E759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argumentative </w:t>
      </w:r>
      <w:r w:rsidRPr="004907F5">
        <w:rPr>
          <w:rFonts w:ascii="Times New Roman" w:hAnsi="Times New Roman" w:cs="Times New Roman"/>
          <w:b/>
          <w:sz w:val="24"/>
          <w:szCs w:val="24"/>
        </w:rPr>
        <w:t>:</w:t>
      </w:r>
      <w:r w:rsidRPr="004907F5">
        <w:rPr>
          <w:rFonts w:ascii="Times New Roman" w:hAnsi="Times New Roman" w:cs="Times New Roman"/>
          <w:sz w:val="24"/>
          <w:szCs w:val="24"/>
        </w:rPr>
        <w:t xml:space="preserve"> la référence à un texte faisant autorité peut servir de justification à un propos ou une attitude. </w:t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62FC6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herméneutique</w:t>
      </w:r>
      <w:r>
        <w:rPr>
          <w:rStyle w:val="Appelnotedebasdep"/>
          <w:rFonts w:ascii="Times New Roman" w:hAnsi="Times New Roman" w:cs="Times New Roman"/>
          <w:b/>
          <w:color w:val="0070C0"/>
          <w:sz w:val="24"/>
          <w:szCs w:val="24"/>
        </w:rPr>
        <w:footnoteReference w:id="2"/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4907F5">
        <w:rPr>
          <w:rFonts w:ascii="Times New Roman" w:hAnsi="Times New Roman" w:cs="Times New Roman"/>
          <w:sz w:val="24"/>
          <w:szCs w:val="24"/>
        </w:rPr>
        <w:t xml:space="preserve">le renvoi intertextuel est toujours porteur de sens et peut de ce fait préciser ou compliquer le sens du texte lu. </w:t>
      </w:r>
    </w:p>
    <w:p w14:paraId="2883B53E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ludique</w:t>
      </w:r>
      <w:r>
        <w:rPr>
          <w:rStyle w:val="Appelnotedebasdep"/>
          <w:rFonts w:ascii="Times New Roman" w:hAnsi="Times New Roman" w:cs="Times New Roman"/>
          <w:b/>
          <w:color w:val="0070C0"/>
          <w:sz w:val="24"/>
          <w:szCs w:val="24"/>
        </w:rPr>
        <w:footnoteReference w:id="3"/>
      </w:r>
      <w:r w:rsidRPr="004907F5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Pr="004907F5">
        <w:rPr>
          <w:rFonts w:ascii="Times New Roman" w:hAnsi="Times New Roman" w:cs="Times New Roman"/>
          <w:b/>
          <w:sz w:val="24"/>
          <w:szCs w:val="24"/>
        </w:rPr>
        <w:t>:</w:t>
      </w:r>
      <w:r w:rsidRPr="004907F5">
        <w:rPr>
          <w:rFonts w:ascii="Times New Roman" w:hAnsi="Times New Roman" w:cs="Times New Roman"/>
          <w:sz w:val="24"/>
          <w:szCs w:val="24"/>
        </w:rPr>
        <w:t xml:space="preserve"> le renvoi intertextuel appelle à un jeu de décodage de la part du lecteur.   </w:t>
      </w:r>
    </w:p>
    <w:p w14:paraId="5FCCDE18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Une fonction critique </w:t>
      </w:r>
      <w:r w:rsidRPr="004907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07F5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4907F5">
        <w:rPr>
          <w:rFonts w:ascii="Times New Roman" w:hAnsi="Times New Roman" w:cs="Times New Roman"/>
          <w:sz w:val="24"/>
          <w:szCs w:val="24"/>
        </w:rPr>
        <w:t>hypotexte</w:t>
      </w:r>
      <w:proofErr w:type="spellEnd"/>
      <w:r w:rsidRPr="004907F5">
        <w:rPr>
          <w:rFonts w:ascii="Times New Roman" w:hAnsi="Times New Roman" w:cs="Times New Roman"/>
          <w:sz w:val="24"/>
          <w:szCs w:val="24"/>
        </w:rPr>
        <w:t xml:space="preserve"> peut être malmené de différentes façons, de la simple parodie à la condamnation la plus acerbe. </w:t>
      </w:r>
      <w:r>
        <w:rPr>
          <w:rFonts w:ascii="Times New Roman" w:hAnsi="Times New Roman" w:cs="Times New Roman"/>
          <w:sz w:val="24"/>
          <w:szCs w:val="24"/>
        </w:rPr>
        <w:t xml:space="preserve">Exemple </w:t>
      </w:r>
      <w:r w:rsidRPr="004907F5">
        <w:rPr>
          <w:rFonts w:ascii="Times New Roman" w:hAnsi="Times New Roman" w:cs="Times New Roman"/>
          <w:sz w:val="24"/>
          <w:szCs w:val="24"/>
        </w:rPr>
        <w:t>Voltaire ridiculisant la philosophie optimiste de Leibniz dans</w:t>
      </w:r>
      <w:r>
        <w:rPr>
          <w:rFonts w:ascii="Times New Roman" w:hAnsi="Times New Roman" w:cs="Times New Roman"/>
          <w:sz w:val="24"/>
          <w:szCs w:val="24"/>
        </w:rPr>
        <w:t xml:space="preserve"> son conte philosophique</w:t>
      </w:r>
      <w:r w:rsidRPr="004907F5">
        <w:rPr>
          <w:rFonts w:ascii="Times New Roman" w:hAnsi="Times New Roman" w:cs="Times New Roman"/>
          <w:sz w:val="24"/>
          <w:szCs w:val="24"/>
        </w:rPr>
        <w:t xml:space="preserve"> </w:t>
      </w:r>
      <w:r w:rsidRPr="004907F5">
        <w:rPr>
          <w:rFonts w:ascii="Times New Roman" w:hAnsi="Times New Roman" w:cs="Times New Roman"/>
          <w:i/>
          <w:iCs/>
          <w:sz w:val="24"/>
          <w:szCs w:val="24"/>
        </w:rPr>
        <w:t>Candide</w:t>
      </w:r>
      <w:r w:rsidRPr="00490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11F00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Une fonction </w:t>
      </w:r>
      <w:proofErr w:type="spellStart"/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métadiscursive</w:t>
      </w:r>
      <w:proofErr w:type="spellEnd"/>
      <w:r w:rsidRPr="004907F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 </w:t>
      </w:r>
      <w:r w:rsidRPr="004907F5">
        <w:rPr>
          <w:rFonts w:ascii="Times New Roman" w:hAnsi="Times New Roman" w:cs="Times New Roman"/>
          <w:b/>
          <w:sz w:val="24"/>
          <w:szCs w:val="24"/>
        </w:rPr>
        <w:t>:</w:t>
      </w:r>
      <w:r w:rsidRPr="004907F5">
        <w:rPr>
          <w:rFonts w:ascii="Times New Roman" w:hAnsi="Times New Roman" w:cs="Times New Roman"/>
          <w:sz w:val="24"/>
          <w:szCs w:val="24"/>
        </w:rPr>
        <w:t xml:space="preserve"> le regard qu’un texte porte sur un autre texte est parfois l’occasion pour le récit de commenter son propre fonctionnement. </w:t>
      </w:r>
    </w:p>
    <w:p w14:paraId="7BBF2C7F" w14:textId="77777777" w:rsidR="00D211B7" w:rsidRPr="004907F5" w:rsidRDefault="00D211B7" w:rsidP="00D211B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AFABF" w14:textId="77777777" w:rsidR="00D211B7" w:rsidRPr="002D73BF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4907F5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La méthode </w:t>
      </w:r>
      <w:r w:rsidRPr="002D73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73BF">
        <w:rPr>
          <w:rFonts w:ascii="Times New Roman" w:hAnsi="Times New Roman" w:cs="Times New Roman"/>
          <w:sz w:val="24"/>
          <w:szCs w:val="24"/>
        </w:rPr>
        <w:t xml:space="preserve">l’approche intertextuelle tente de proposer une nouvelle méthode de lecture et d’interprétation des textes littéraires. Plus précisément, elle offre une manière inédite </w:t>
      </w:r>
      <w:r w:rsidRPr="002D73BF">
        <w:rPr>
          <w:rFonts w:ascii="Times New Roman" w:hAnsi="Times New Roman" w:cs="Times New Roman"/>
          <w:b/>
          <w:sz w:val="24"/>
          <w:szCs w:val="24"/>
        </w:rPr>
        <w:t>d’appréhender les diverses formes d’intersections explicites</w:t>
      </w:r>
      <w:r w:rsidRPr="002D73BF">
        <w:rPr>
          <w:rFonts w:ascii="Times New Roman" w:hAnsi="Times New Roman" w:cs="Times New Roman"/>
          <w:sz w:val="24"/>
          <w:szCs w:val="24"/>
        </w:rPr>
        <w:t xml:space="preserve"> ou </w:t>
      </w:r>
      <w:r w:rsidRPr="004907F5">
        <w:rPr>
          <w:rFonts w:ascii="Times New Roman" w:hAnsi="Times New Roman" w:cs="Times New Roman"/>
          <w:b/>
          <w:bCs/>
          <w:sz w:val="24"/>
          <w:szCs w:val="24"/>
        </w:rPr>
        <w:t>implicites</w:t>
      </w:r>
      <w:r w:rsidRPr="002D73BF">
        <w:rPr>
          <w:rFonts w:ascii="Times New Roman" w:hAnsi="Times New Roman" w:cs="Times New Roman"/>
          <w:sz w:val="24"/>
          <w:szCs w:val="24"/>
        </w:rPr>
        <w:t xml:space="preserve"> entre les textes.</w:t>
      </w:r>
    </w:p>
    <w:p w14:paraId="56125FE8" w14:textId="77777777" w:rsidR="00D211B7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BF">
        <w:rPr>
          <w:rFonts w:ascii="Times New Roman" w:hAnsi="Times New Roman" w:cs="Times New Roman"/>
          <w:sz w:val="24"/>
          <w:szCs w:val="24"/>
        </w:rPr>
        <w:t xml:space="preserve">Le travail critique consistera dans un premier temps à détecter les différentes relations existantes entre l’œuvre étudiée et celles qui l’ont précédé. Ce qui demandera une forte participation du lecteur (une large culture et grande expérience de lecture). </w:t>
      </w:r>
    </w:p>
    <w:p w14:paraId="19F61E20" w14:textId="77777777" w:rsidR="00D211B7" w:rsidRDefault="00D211B7" w:rsidP="00D211B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BF">
        <w:rPr>
          <w:rFonts w:ascii="Times New Roman" w:hAnsi="Times New Roman" w:cs="Times New Roman"/>
          <w:sz w:val="24"/>
          <w:szCs w:val="24"/>
        </w:rPr>
        <w:t xml:space="preserve">En effet, il faudra non seulement </w:t>
      </w:r>
    </w:p>
    <w:p w14:paraId="11EE791C" w14:textId="77777777" w:rsidR="00D211B7" w:rsidRDefault="00D211B7" w:rsidP="00D211B7">
      <w:pPr>
        <w:pStyle w:val="Par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7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Repérer l’intertexte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A8E597" w14:textId="77777777" w:rsidR="00D211B7" w:rsidRDefault="00D211B7" w:rsidP="00D211B7">
      <w:pPr>
        <w:pStyle w:val="Par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7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L’identifier</w:t>
      </w:r>
      <w:r>
        <w:rPr>
          <w:rFonts w:ascii="Times New Roman" w:hAnsi="Times New Roman" w:cs="Times New Roman"/>
          <w:sz w:val="24"/>
          <w:szCs w:val="24"/>
        </w:rPr>
        <w:t xml:space="preserve"> (parodie, pastiche…) ;</w:t>
      </w:r>
    </w:p>
    <w:p w14:paraId="5E7C9118" w14:textId="77777777" w:rsidR="005E1232" w:rsidRPr="00D211B7" w:rsidRDefault="00D211B7" w:rsidP="00D211B7">
      <w:pPr>
        <w:pStyle w:val="Par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907F5">
        <w:rPr>
          <w:rFonts w:ascii="Times New Roman" w:hAnsi="Times New Roman" w:cs="Times New Roman"/>
          <w:sz w:val="24"/>
          <w:szCs w:val="24"/>
        </w:rPr>
        <w:t xml:space="preserve">ais aussi </w:t>
      </w:r>
      <w:r w:rsidRPr="004907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l’interpréter</w:t>
      </w:r>
      <w:r w:rsidRPr="004907F5">
        <w:rPr>
          <w:rFonts w:ascii="Times New Roman" w:hAnsi="Times New Roman" w:cs="Times New Roman"/>
          <w:sz w:val="24"/>
          <w:szCs w:val="24"/>
        </w:rPr>
        <w:t xml:space="preserve">, c'est-à-dire lui donner un sens et une fonction. </w:t>
      </w:r>
    </w:p>
    <w:sectPr w:rsidR="005E1232" w:rsidRPr="00D211B7" w:rsidSect="00FF1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56D8" w14:textId="77777777" w:rsidR="00AE4B70" w:rsidRDefault="00AE4B70" w:rsidP="00D211B7">
      <w:pPr>
        <w:spacing w:after="0" w:line="240" w:lineRule="auto"/>
      </w:pPr>
      <w:r>
        <w:separator/>
      </w:r>
    </w:p>
  </w:endnote>
  <w:endnote w:type="continuationSeparator" w:id="0">
    <w:p w14:paraId="0733C270" w14:textId="77777777" w:rsidR="00AE4B70" w:rsidRDefault="00AE4B70" w:rsidP="00D2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A912" w14:textId="77777777" w:rsidR="00227975" w:rsidRDefault="0022797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425A" w14:textId="77777777" w:rsidR="00227975" w:rsidRDefault="0022797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8E5" w14:textId="77777777" w:rsidR="00227975" w:rsidRDefault="002279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C0F02" w14:textId="77777777" w:rsidR="00AE4B70" w:rsidRDefault="00AE4B70" w:rsidP="00D211B7">
      <w:pPr>
        <w:spacing w:after="0" w:line="240" w:lineRule="auto"/>
      </w:pPr>
      <w:r>
        <w:separator/>
      </w:r>
    </w:p>
  </w:footnote>
  <w:footnote w:type="continuationSeparator" w:id="0">
    <w:p w14:paraId="3D42D395" w14:textId="77777777" w:rsidR="00AE4B70" w:rsidRDefault="00AE4B70" w:rsidP="00D211B7">
      <w:pPr>
        <w:spacing w:after="0" w:line="240" w:lineRule="auto"/>
      </w:pPr>
      <w:r>
        <w:continuationSeparator/>
      </w:r>
    </w:p>
  </w:footnote>
  <w:footnote w:id="1">
    <w:p w14:paraId="0CACF17F" w14:textId="77777777" w:rsidR="00D211B7" w:rsidRPr="004E06BC" w:rsidRDefault="00D211B7" w:rsidP="00D211B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</w:pPr>
      <w:r w:rsidRPr="004E06BC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E06BC">
        <w:rPr>
          <w:rFonts w:ascii="Times New Roman" w:hAnsi="Times New Roman" w:cs="Times New Roman"/>
          <w:sz w:val="20"/>
          <w:szCs w:val="20"/>
        </w:rPr>
        <w:t xml:space="preserve"> Générique : en linguistique </w:t>
      </w:r>
      <w:r w:rsidRPr="004E06B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Se dit d'un mot qui désigne une classe d'êtres ou d'objets susceptibles de recevoir chacun une désignation spécifique. </w:t>
      </w:r>
      <w:r w:rsidRPr="004E06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Le nom </w:t>
      </w:r>
      <w:r w:rsidRPr="004E06B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siège</w:t>
      </w:r>
      <w:r w:rsidRPr="004E06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 est le terme générique d'une classe d'objets tels le fauteuil, la chaise, le canapé, le divan, la causeuse, etc.</w:t>
      </w:r>
    </w:p>
  </w:footnote>
  <w:footnote w:id="2">
    <w:p w14:paraId="61B95B1E" w14:textId="77777777" w:rsidR="00D211B7" w:rsidRPr="004907F5" w:rsidRDefault="00D211B7" w:rsidP="00D211B7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4907F5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907F5">
        <w:rPr>
          <w:rFonts w:ascii="Times New Roman" w:hAnsi="Times New Roman" w:cs="Times New Roman"/>
          <w:sz w:val="20"/>
          <w:szCs w:val="20"/>
        </w:rPr>
        <w:t xml:space="preserve"> Herméneutique : science de l’interprétation des textes. </w:t>
      </w:r>
    </w:p>
  </w:footnote>
  <w:footnote w:id="3">
    <w:p w14:paraId="1EE980C4" w14:textId="77777777" w:rsidR="00D211B7" w:rsidRDefault="00D211B7" w:rsidP="00D211B7">
      <w:pPr>
        <w:pStyle w:val="Notedebasdepage"/>
      </w:pPr>
      <w:r w:rsidRPr="004907F5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907F5">
        <w:rPr>
          <w:rFonts w:ascii="Times New Roman" w:hAnsi="Times New Roman" w:cs="Times New Roman"/>
          <w:sz w:val="20"/>
          <w:szCs w:val="20"/>
        </w:rPr>
        <w:t xml:space="preserve"> Ludique : relatif au jeu.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0BFF" w14:textId="77777777" w:rsidR="00227975" w:rsidRDefault="0022797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EA2A" w14:textId="4B3BFECD" w:rsidR="00227975" w:rsidRDefault="00227975">
    <w:pPr>
      <w:pStyle w:val="En-tte"/>
    </w:pPr>
    <w:r>
      <w:t>E</w:t>
    </w:r>
    <w:r w:rsidR="00AD0884">
      <w:t xml:space="preserve">TL cours </w:t>
    </w:r>
    <w:r w:rsidR="00AD0884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6BB8" w14:textId="77777777" w:rsidR="00227975" w:rsidRDefault="0022797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699D"/>
    <w:multiLevelType w:val="hybridMultilevel"/>
    <w:tmpl w:val="77D23CFC"/>
    <w:lvl w:ilvl="0" w:tplc="92067A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42370"/>
    <w:multiLevelType w:val="hybridMultilevel"/>
    <w:tmpl w:val="3DCC05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7BB6"/>
    <w:multiLevelType w:val="hybridMultilevel"/>
    <w:tmpl w:val="2826B1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7"/>
    <w:rsid w:val="001C2833"/>
    <w:rsid w:val="00227975"/>
    <w:rsid w:val="00316AC9"/>
    <w:rsid w:val="00AD0884"/>
    <w:rsid w:val="00AE4B70"/>
    <w:rsid w:val="00CA6C5D"/>
    <w:rsid w:val="00D211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0F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B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211B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21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1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rsid w:val="00D211B7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11B7"/>
  </w:style>
  <w:style w:type="character" w:styleId="Appelnotedebasdep">
    <w:name w:val="footnote reference"/>
    <w:basedOn w:val="Policepardfaut"/>
    <w:uiPriority w:val="99"/>
    <w:unhideWhenUsed/>
    <w:rsid w:val="00D211B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2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97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2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9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946</Words>
  <Characters>5205</Characters>
  <Application>Microsoft Macintosh Word</Application>
  <DocSecurity>0</DocSecurity>
  <Lines>43</Lines>
  <Paragraphs>12</Paragraphs>
  <ScaleCrop>false</ScaleCrop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2022-12-12T11:08:00Z</dcterms:created>
  <dcterms:modified xsi:type="dcterms:W3CDTF">2022-12-12T15:12:00Z</dcterms:modified>
</cp:coreProperties>
</file>