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D7" w:rsidRDefault="00E72A15" w:rsidP="00CB6F8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72A15">
        <w:rPr>
          <w:rFonts w:asciiTheme="majorBidi" w:hAnsiTheme="majorBidi" w:cstheme="majorBidi"/>
          <w:b/>
          <w:bCs/>
          <w:sz w:val="32"/>
          <w:szCs w:val="32"/>
        </w:rPr>
        <w:t>The Constitution</w:t>
      </w:r>
    </w:p>
    <w:p w:rsidR="00E72A15" w:rsidRDefault="00E72A15" w:rsidP="00E72A1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country has a constitution of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. There are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definitions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provided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by the Oxford English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Dictionary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:‘the system or body of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fundamental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principles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according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which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a nation state or body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politic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constituted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E12305">
        <w:rPr>
          <w:rFonts w:asciiTheme="majorBidi" w:hAnsiTheme="majorBidi" w:cstheme="majorBidi"/>
          <w:b/>
          <w:bCs/>
          <w:sz w:val="24"/>
          <w:szCs w:val="24"/>
        </w:rPr>
        <w:t>governed</w:t>
      </w:r>
      <w:proofErr w:type="spellEnd"/>
      <w:r w:rsidRPr="00E12305">
        <w:rPr>
          <w:rFonts w:asciiTheme="majorBidi" w:hAnsiTheme="majorBidi" w:cstheme="majorBidi"/>
          <w:b/>
          <w:bCs/>
          <w:sz w:val="24"/>
          <w:szCs w:val="24"/>
        </w:rPr>
        <w:t>’.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2A15">
        <w:rPr>
          <w:rFonts w:asciiTheme="majorBidi" w:hAnsiTheme="majorBidi" w:cstheme="majorBidi"/>
          <w:sz w:val="24"/>
          <w:szCs w:val="24"/>
        </w:rPr>
        <w:t xml:space="preserve">Constitutions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declare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the existence of the state and express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important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procedures</w:t>
      </w:r>
      <w:proofErr w:type="spellEnd"/>
      <w:r w:rsidRPr="00E72A1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72A15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2A15">
        <w:rPr>
          <w:rFonts w:asciiTheme="majorBidi" w:hAnsiTheme="majorBidi" w:cstheme="majorBidi"/>
          <w:sz w:val="24"/>
          <w:szCs w:val="24"/>
        </w:rPr>
        <w:t>system.</w:t>
      </w:r>
    </w:p>
    <w:p w:rsidR="00752D13" w:rsidRDefault="00752D13" w:rsidP="00752D1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T</w:t>
      </w:r>
      <w:r w:rsidRPr="00752D13">
        <w:rPr>
          <w:rFonts w:asciiTheme="majorBidi" w:hAnsiTheme="majorBidi" w:cstheme="majorBidi"/>
          <w:sz w:val="24"/>
          <w:szCs w:val="24"/>
        </w:rPr>
        <w:t xml:space="preserve">he UK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not have a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constitution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of a single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document,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though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substantial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52D13">
        <w:rPr>
          <w:rFonts w:asciiTheme="majorBidi" w:hAnsiTheme="majorBidi" w:cstheme="majorBidi"/>
          <w:sz w:val="24"/>
          <w:szCs w:val="24"/>
        </w:rPr>
        <w:t xml:space="preserve">are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written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places. It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largely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ancient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origins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the British Constitution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752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2D13">
        <w:rPr>
          <w:rFonts w:asciiTheme="majorBidi" w:hAnsiTheme="majorBidi" w:cstheme="majorBidi"/>
          <w:sz w:val="24"/>
          <w:szCs w:val="24"/>
        </w:rPr>
        <w:t>unsystematic</w:t>
      </w:r>
      <w:proofErr w:type="spellEnd"/>
    </w:p>
    <w:p w:rsidR="00157B6B" w:rsidRDefault="00157B6B" w:rsidP="00752D1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7B6B">
        <w:rPr>
          <w:rFonts w:asciiTheme="majorBidi" w:hAnsiTheme="majorBidi" w:cstheme="majorBidi"/>
          <w:b/>
          <w:bCs/>
          <w:sz w:val="24"/>
          <w:szCs w:val="24"/>
        </w:rPr>
        <w:t>Sources of the British Constitution</w:t>
      </w:r>
    </w:p>
    <w:p w:rsidR="00CB6F82" w:rsidRDefault="00157B6B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>Magna Carta (1215)</w:t>
      </w:r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asserted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monarch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controlled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subjects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: </w:t>
      </w:r>
    </w:p>
    <w:p w:rsidR="00CB6F82" w:rsidRDefault="00157B6B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Act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Settlement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(1701)</w:t>
      </w:r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strengthened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Parliament’s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control over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sovereign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by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determining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succession to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throne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>.</w:t>
      </w:r>
    </w:p>
    <w:p w:rsidR="00CB6F82" w:rsidRDefault="000F5750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Major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statutes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CB6F82">
        <w:rPr>
          <w:rFonts w:asciiTheme="majorBidi" w:hAnsiTheme="majorBidi" w:cstheme="majorBidi"/>
          <w:sz w:val="24"/>
          <w:szCs w:val="24"/>
        </w:rPr>
        <w:t xml:space="preserve">There are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major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statutes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have an impact on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constitutional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structure, in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changed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people are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governed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state: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Acts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(1911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and 1949),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trimmed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the House of Lords;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the Scotland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(1998)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established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Scottish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Parliament</w:t>
      </w:r>
      <w:proofErr w:type="spellEnd"/>
    </w:p>
    <w:p w:rsidR="00CB6F82" w:rsidRDefault="008732D8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prerogative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powers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of the Crown : </w:t>
      </w:r>
      <w:r w:rsidRPr="00CB6F82">
        <w:rPr>
          <w:rFonts w:asciiTheme="majorBidi" w:hAnsiTheme="majorBidi" w:cstheme="majorBidi"/>
          <w:sz w:val="24"/>
          <w:szCs w:val="24"/>
        </w:rPr>
        <w:t xml:space="preserve">The Royal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Prerogative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comprises a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privileges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performed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monarch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performed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or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name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ministers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authority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derives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Crown,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parliamentary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authority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not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Executive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conducts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tasks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>.</w:t>
      </w:r>
    </w:p>
    <w:p w:rsidR="00CB6F82" w:rsidRDefault="001E3B22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and customs of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Parliament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CB6F8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relating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procedures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the House and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privileges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are set out in the book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consulted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the Speaker.</w:t>
      </w:r>
    </w:p>
    <w:p w:rsidR="00CB6F82" w:rsidRDefault="001E3B22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B6F82">
        <w:rPr>
          <w:rFonts w:asciiTheme="majorBidi" w:hAnsiTheme="majorBidi" w:cstheme="majorBidi"/>
          <w:b/>
          <w:bCs/>
          <w:sz w:val="24"/>
          <w:szCs w:val="24"/>
        </w:rPr>
        <w:t>Common and case (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judge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-made)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law</w:t>
      </w:r>
      <w:proofErr w:type="spellEnd"/>
      <w:r w:rsidR="001A2577"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CB6F82">
        <w:rPr>
          <w:rFonts w:asciiTheme="majorBidi" w:hAnsiTheme="majorBidi" w:cstheme="majorBidi"/>
          <w:sz w:val="24"/>
          <w:szCs w:val="24"/>
        </w:rPr>
        <w:t xml:space="preserve">Common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immemorial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the people (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as the claim</w:t>
      </w:r>
      <w:r w:rsidR="001A2577" w:rsidRPr="00CB6F82">
        <w:rPr>
          <w:rFonts w:asciiTheme="majorBidi" w:hAnsiTheme="majorBidi" w:cstheme="majorBidi"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to the right of free speech and free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assembly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practice has</w:t>
      </w:r>
      <w:r w:rsidR="001A2577" w:rsidRPr="00CB6F82">
        <w:rPr>
          <w:rFonts w:asciiTheme="majorBidi" w:hAnsiTheme="majorBidi" w:cstheme="majorBidi"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been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determined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implemented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judges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. Court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decisions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affect</w:t>
      </w:r>
      <w:r w:rsidR="001A2577" w:rsidRPr="00CB6F82">
        <w:rPr>
          <w:rFonts w:asciiTheme="majorBidi" w:hAnsiTheme="majorBidi" w:cstheme="majorBidi"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the Constitution by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interpreting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statutes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unclear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or</w:t>
      </w:r>
      <w:r w:rsidR="001A2577"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establishing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relation to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authority</w:t>
      </w:r>
      <w:proofErr w:type="spellEnd"/>
    </w:p>
    <w:p w:rsidR="00CB6F82" w:rsidRDefault="00E875E0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lastRenderedPageBreak/>
        <w:t>Constitutional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Conventions :</w:t>
      </w:r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unwritten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constitutional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behaviour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customs of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practice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observed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: for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choice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prime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minister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made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the House of</w:t>
      </w:r>
      <w:r w:rsidR="00FD0ED1"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B6F82">
        <w:rPr>
          <w:rFonts w:asciiTheme="majorBidi" w:hAnsiTheme="majorBidi" w:cstheme="majorBidi"/>
          <w:sz w:val="24"/>
          <w:szCs w:val="24"/>
        </w:rPr>
        <w:t>Commons</w:t>
      </w:r>
      <w:r w:rsidR="00FD0ED1" w:rsidRPr="00CB6F82">
        <w:rPr>
          <w:rFonts w:asciiTheme="majorBidi" w:hAnsiTheme="majorBidi" w:cstheme="majorBidi"/>
          <w:sz w:val="24"/>
          <w:szCs w:val="24"/>
        </w:rPr>
        <w:t> .</w:t>
      </w:r>
      <w:proofErr w:type="gramEnd"/>
    </w:p>
    <w:p w:rsidR="003B1925" w:rsidRPr="00CB6F82" w:rsidRDefault="00FD0ED1" w:rsidP="00CB6F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European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Union </w:t>
      </w:r>
      <w:proofErr w:type="spellStart"/>
      <w:r w:rsidRPr="00CB6F82">
        <w:rPr>
          <w:rFonts w:asciiTheme="majorBidi" w:hAnsiTheme="majorBidi" w:cstheme="majorBidi"/>
          <w:b/>
          <w:bCs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European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Union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comprises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legislation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Treaty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of Rome and the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treaties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secondary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in EU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and directives.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European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takes</w:t>
      </w:r>
      <w:proofErr w:type="spellEnd"/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precedence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over UK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F82">
        <w:rPr>
          <w:rFonts w:asciiTheme="majorBidi" w:hAnsiTheme="majorBidi" w:cstheme="majorBidi"/>
          <w:sz w:val="24"/>
          <w:szCs w:val="24"/>
        </w:rPr>
        <w:t>binding</w:t>
      </w:r>
      <w:proofErr w:type="spellEnd"/>
      <w:r w:rsidRPr="00CB6F82">
        <w:rPr>
          <w:rFonts w:asciiTheme="majorBidi" w:hAnsiTheme="majorBidi" w:cstheme="majorBidi"/>
          <w:sz w:val="24"/>
          <w:szCs w:val="24"/>
        </w:rPr>
        <w:t xml:space="preserve"> on the UK and applicable by UK</w:t>
      </w:r>
      <w:r w:rsidRPr="00CB6F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6F82">
        <w:rPr>
          <w:rFonts w:asciiTheme="majorBidi" w:hAnsiTheme="majorBidi" w:cstheme="majorBidi"/>
          <w:sz w:val="24"/>
          <w:szCs w:val="24"/>
        </w:rPr>
        <w:t>courts.</w:t>
      </w:r>
    </w:p>
    <w:p w:rsidR="003B1925" w:rsidRPr="003B1925" w:rsidRDefault="003B1925" w:rsidP="003B192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Characteristics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of the British Constitution</w:t>
      </w:r>
    </w:p>
    <w:p w:rsidR="003B1925" w:rsidRPr="003B1925" w:rsidRDefault="003B1925" w:rsidP="003B1925">
      <w:pPr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sz w:val="24"/>
          <w:szCs w:val="24"/>
        </w:rPr>
        <w:t xml:space="preserve">The British Constitution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>:</w:t>
      </w:r>
    </w:p>
    <w:p w:rsidR="003B1925" w:rsidRPr="003B1925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•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uncodified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no single document in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concerning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of the country are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brought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together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>.</w:t>
      </w:r>
    </w:p>
    <w:p w:rsidR="003B1925" w:rsidRPr="003B1925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unitary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rather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than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federal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Westminster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makes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laws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for all parts of the United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Kingdom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. Parts of the UK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devolved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nonetheless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all parts of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kingdom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1925">
        <w:rPr>
          <w:rFonts w:asciiTheme="majorBidi" w:hAnsiTheme="majorBidi" w:cstheme="majorBidi"/>
          <w:sz w:val="24"/>
          <w:szCs w:val="24"/>
        </w:rPr>
        <w:t xml:space="preserve">are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legislative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supremacy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>.</w:t>
      </w:r>
    </w:p>
    <w:p w:rsidR="003B1925" w:rsidRPr="003B1925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sz w:val="24"/>
          <w:szCs w:val="24"/>
        </w:rPr>
        <w:t xml:space="preserve">• </w:t>
      </w: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flexible.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Being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unwritten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in a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formal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easily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amended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drastic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changes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made by passing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though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custom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changes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probably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require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 referendum if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1925">
        <w:rPr>
          <w:rFonts w:asciiTheme="majorBidi" w:hAnsiTheme="majorBidi" w:cstheme="majorBidi"/>
          <w:sz w:val="24"/>
          <w:szCs w:val="24"/>
        </w:rPr>
        <w:t xml:space="preserve">have not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already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submitted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electorate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general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election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>.</w:t>
      </w:r>
    </w:p>
    <w:p w:rsidR="003B1925" w:rsidRPr="003B1925" w:rsidRDefault="003B1925" w:rsidP="003B192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The basic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elements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of the Constitution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rest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on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three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major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constitutional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principles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B1925" w:rsidRPr="003B1925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1. The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sovereignty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Parliament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–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Parliament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theoretically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possesses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unlimited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authority</w:t>
      </w:r>
      <w:proofErr w:type="spellEnd"/>
    </w:p>
    <w:p w:rsidR="003B1925" w:rsidRPr="003B1925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2. The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rule</w:t>
      </w:r>
      <w:proofErr w:type="spellEnd"/>
      <w:r w:rsidRPr="003B1925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3B1925">
        <w:rPr>
          <w:rFonts w:asciiTheme="majorBidi" w:hAnsiTheme="majorBidi" w:cstheme="majorBidi"/>
          <w:b/>
          <w:bCs/>
          <w:sz w:val="24"/>
          <w:szCs w:val="24"/>
        </w:rPr>
        <w:t>law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–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principle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no one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above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ministers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, public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authorities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it</w:t>
      </w:r>
      <w:proofErr w:type="spellEnd"/>
    </w:p>
    <w:p w:rsidR="00FD0ED1" w:rsidRDefault="003B1925" w:rsidP="001866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B1925">
        <w:rPr>
          <w:rFonts w:asciiTheme="majorBidi" w:hAnsiTheme="majorBidi" w:cstheme="majorBidi"/>
          <w:b/>
          <w:bCs/>
          <w:sz w:val="24"/>
          <w:szCs w:val="24"/>
        </w:rPr>
        <w:t>3. The fusion</w:t>
      </w:r>
      <w:r w:rsidRPr="003B192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complete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separation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) of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ministers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head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executive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departments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sit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legislature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and are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1925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B1925">
        <w:rPr>
          <w:rFonts w:asciiTheme="majorBidi" w:hAnsiTheme="majorBidi" w:cstheme="majorBidi"/>
          <w:sz w:val="24"/>
          <w:szCs w:val="24"/>
        </w:rPr>
        <w:t>.</w:t>
      </w:r>
    </w:p>
    <w:sectPr w:rsidR="00FD0ED1" w:rsidSect="00186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41" w:rsidRDefault="003D4541" w:rsidP="004E5E56">
      <w:pPr>
        <w:spacing w:after="0" w:line="240" w:lineRule="auto"/>
      </w:pPr>
      <w:r>
        <w:separator/>
      </w:r>
    </w:p>
  </w:endnote>
  <w:endnote w:type="continuationSeparator" w:id="0">
    <w:p w:rsidR="003D4541" w:rsidRDefault="003D4541" w:rsidP="004E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56" w:rsidRDefault="004E5E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56" w:rsidRDefault="004E5E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56" w:rsidRDefault="004E5E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41" w:rsidRDefault="003D4541" w:rsidP="004E5E56">
      <w:pPr>
        <w:spacing w:after="0" w:line="240" w:lineRule="auto"/>
      </w:pPr>
      <w:r>
        <w:separator/>
      </w:r>
    </w:p>
  </w:footnote>
  <w:footnote w:type="continuationSeparator" w:id="0">
    <w:p w:rsidR="003D4541" w:rsidRDefault="003D4541" w:rsidP="004E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56" w:rsidRDefault="004E5E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9512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4E5E56" w:rsidRDefault="004E5E5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5E56" w:rsidRDefault="004E5E5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56" w:rsidRDefault="004E5E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C3B"/>
    <w:multiLevelType w:val="hybridMultilevel"/>
    <w:tmpl w:val="6562CB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B"/>
    <w:rsid w:val="0000755E"/>
    <w:rsid w:val="000F5750"/>
    <w:rsid w:val="001574BB"/>
    <w:rsid w:val="00157B6B"/>
    <w:rsid w:val="0018664C"/>
    <w:rsid w:val="001A2577"/>
    <w:rsid w:val="001E3B22"/>
    <w:rsid w:val="002039F1"/>
    <w:rsid w:val="002B1F15"/>
    <w:rsid w:val="003B1925"/>
    <w:rsid w:val="003D4541"/>
    <w:rsid w:val="00443603"/>
    <w:rsid w:val="00492C82"/>
    <w:rsid w:val="004E5E56"/>
    <w:rsid w:val="006B3C07"/>
    <w:rsid w:val="00752D13"/>
    <w:rsid w:val="007639E1"/>
    <w:rsid w:val="007D070D"/>
    <w:rsid w:val="007F108C"/>
    <w:rsid w:val="008732D8"/>
    <w:rsid w:val="00971131"/>
    <w:rsid w:val="009D1605"/>
    <w:rsid w:val="00A57B86"/>
    <w:rsid w:val="00CB6F82"/>
    <w:rsid w:val="00E10535"/>
    <w:rsid w:val="00E12305"/>
    <w:rsid w:val="00E15A33"/>
    <w:rsid w:val="00E72A15"/>
    <w:rsid w:val="00E875E0"/>
    <w:rsid w:val="00F869EC"/>
    <w:rsid w:val="00FD0ED1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F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E56"/>
  </w:style>
  <w:style w:type="paragraph" w:styleId="Pieddepage">
    <w:name w:val="footer"/>
    <w:basedOn w:val="Normal"/>
    <w:link w:val="PieddepageCar"/>
    <w:uiPriority w:val="99"/>
    <w:unhideWhenUsed/>
    <w:rsid w:val="004E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F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E56"/>
  </w:style>
  <w:style w:type="paragraph" w:styleId="Pieddepage">
    <w:name w:val="footer"/>
    <w:basedOn w:val="Normal"/>
    <w:link w:val="PieddepageCar"/>
    <w:uiPriority w:val="99"/>
    <w:unhideWhenUsed/>
    <w:rsid w:val="004E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114</cp:revision>
  <dcterms:created xsi:type="dcterms:W3CDTF">2021-01-10T15:03:00Z</dcterms:created>
  <dcterms:modified xsi:type="dcterms:W3CDTF">2021-01-12T14:53:00Z</dcterms:modified>
</cp:coreProperties>
</file>