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2D" w:rsidRPr="006F6E2D" w:rsidRDefault="006F6E2D" w:rsidP="006F6E2D">
      <w:pPr>
        <w:bidi/>
        <w:spacing w:after="0" w:line="240" w:lineRule="auto"/>
        <w:rPr>
          <w:rFonts w:ascii="Times New Roman" w:eastAsia="Times New Roman" w:hAnsi="Times New Roman" w:cs="AL-Sarem Bold"/>
          <w:sz w:val="24"/>
          <w:szCs w:val="24"/>
          <w:lang w:eastAsia="fr-FR"/>
        </w:rPr>
      </w:pP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gram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المصادر</w:t>
      </w:r>
      <w:proofErr w:type="gram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والمراجع: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الإتقان في علوم القرآن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عبد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الرحْن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بن أبي بكر جلال الدين السيوطي 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تـ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: محمد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أبو الفضل إبراهيم الهيئة المصرية العامة للكتاب</w:t>
      </w:r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r w:rsidRPr="006F6E2D">
        <w:rPr>
          <w:rFonts w:ascii="Arial" w:eastAsia="Times New Roman" w:hAnsi="Arial" w:cs="AL-Sarem Bold"/>
          <w:sz w:val="30"/>
          <w:lang w:eastAsia="fr-FR"/>
        </w:rPr>
        <w:t>1394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1974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إصلاحالمنطق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ابنالسكيت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محمدمرعب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دارإحياءالتراثالعربي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1423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2002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</w:t>
      </w:r>
      <w:r w:rsidRPr="006F6E2D">
        <w:rPr>
          <w:rFonts w:ascii="Arial" w:eastAsia="Times New Roman" w:hAnsi="Arial" w:cs="AL-Sarem Bold"/>
          <w:sz w:val="30"/>
          <w:lang w:eastAsia="fr-FR"/>
        </w:rPr>
        <w:t>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3.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الأصوات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اللغوية،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إبراهيم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أنيس،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مكتبة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الأنجلو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المصرية،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القاهرة،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مصر،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3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1999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4.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الأصول،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دراسة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ايبستـولوجية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لأصول الفكــر اللغـوي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العربـي،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تمام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حسان،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الثقافة،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الدار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البيضاء،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المغرب،</w:t>
      </w:r>
      <w:r w:rsidRPr="006F6E2D">
        <w:rPr>
          <w:rFonts w:ascii="Arial" w:eastAsia="Times New Roman" w:hAnsi="Arial" w:cs="AL-Sarem Bold"/>
          <w:sz w:val="30"/>
          <w:lang w:eastAsia="fr-FR"/>
        </w:rPr>
        <w:t>1411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1991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5.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إعراب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القرآن</w:t>
      </w:r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النحاس،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منشوراتمحمدعليبيضون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دارالكتبالعلمية،بيروت،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1421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6.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الاقتراحفيأصولالنحووجدله،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جلالالدينالسيوطي،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محمودفجال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،دار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القلم،دمشق،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1409-1989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</w:t>
      </w:r>
      <w:r w:rsidRPr="006F6E2D">
        <w:rPr>
          <w:rFonts w:ascii="Arial" w:eastAsia="Times New Roman" w:hAnsi="Arial" w:cs="AL-Sarem Bold"/>
          <w:sz w:val="30"/>
          <w:lang w:eastAsia="fr-FR"/>
        </w:rPr>
        <w:t>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7.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الاقتصاد اللغوي في صياغة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المفرد،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 فخر الدين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قباوة،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مكتبة لبنان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ناشرون،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لبنان،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2001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8.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الإنصاففيمسائلالخلافبينالنحويين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البصريينوالكوفيين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أبوكاتالبر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الأنباري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المكتبةالعصرية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،ط</w:t>
      </w:r>
      <w:r w:rsidRPr="006F6E2D">
        <w:rPr>
          <w:rFonts w:ascii="Arial" w:eastAsia="Times New Roman" w:hAnsi="Arial" w:cs="AL-Sarem Bold"/>
          <w:sz w:val="30"/>
          <w:lang w:eastAsia="fr-FR"/>
        </w:rPr>
        <w:t>11424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</w:t>
      </w:r>
      <w:r w:rsidRPr="006F6E2D">
        <w:rPr>
          <w:rFonts w:ascii="Arial" w:eastAsia="Times New Roman" w:hAnsi="Arial" w:cs="AL-Sarem Bold"/>
          <w:sz w:val="30"/>
          <w:lang w:eastAsia="fr-FR"/>
        </w:rPr>
        <w:t>-2003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9.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أوضحالتفاسير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محمدعبداللطيفبنالخطيب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المطبعةالمصريةومكتبتها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،ط</w:t>
      </w:r>
      <w:r w:rsidRPr="006F6E2D">
        <w:rPr>
          <w:rFonts w:ascii="Arial" w:eastAsia="Times New Roman" w:hAnsi="Arial" w:cs="AL-Sarem Bold"/>
          <w:sz w:val="30"/>
          <w:lang w:eastAsia="fr-FR"/>
        </w:rPr>
        <w:t>6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1383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</w:t>
      </w:r>
      <w:r w:rsidRPr="006F6E2D">
        <w:rPr>
          <w:rFonts w:ascii="Arial" w:eastAsia="Times New Roman" w:hAnsi="Arial" w:cs="AL-Sarem Bold"/>
          <w:sz w:val="30"/>
          <w:lang w:eastAsia="fr-FR"/>
        </w:rPr>
        <w:t>-1964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</w:t>
      </w:r>
      <w:r w:rsidRPr="006F6E2D">
        <w:rPr>
          <w:rFonts w:ascii="Arial" w:eastAsia="Times New Roman" w:hAnsi="Arial" w:cs="AL-Sarem Bold"/>
          <w:sz w:val="30"/>
          <w:lang w:eastAsia="fr-FR"/>
        </w:rPr>
        <w:t>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10.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الإيضاح في علل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النحو،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أبو القاسم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الزجاجي،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: مازن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المبارك،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النفائس،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3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1399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1979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</w:p>
    <w:p w:rsidR="006F6E2D" w:rsidRPr="006F6E2D" w:rsidRDefault="006F6E2D" w:rsidP="006F6E2D">
      <w:pPr>
        <w:bidi/>
        <w:spacing w:after="0" w:line="240" w:lineRule="auto"/>
        <w:rPr>
          <w:rFonts w:ascii="Times New Roman" w:eastAsia="Times New Roman" w:hAnsi="Times New Roman" w:cs="AL-Sarem Bold"/>
          <w:sz w:val="24"/>
          <w:szCs w:val="24"/>
          <w:lang w:eastAsia="fr-FR"/>
        </w:rPr>
      </w:pPr>
      <w:r w:rsidRPr="006F6E2D">
        <w:rPr>
          <w:rFonts w:ascii="Arial" w:eastAsia="Times New Roman" w:hAnsi="Arial" w:cs="AL-Sarem Bold"/>
          <w:sz w:val="18"/>
          <w:lang w:eastAsia="fr-FR"/>
        </w:rPr>
        <w:t>101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11.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بحوث ومقالات في اللغة،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رمضانعبدالتواب،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مكتبةالخانجيبالقاهرة،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3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1415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</w:t>
      </w:r>
      <w:r w:rsidRPr="006F6E2D">
        <w:rPr>
          <w:rFonts w:ascii="Arial" w:eastAsia="Times New Roman" w:hAnsi="Arial" w:cs="AL-Sarem Bold"/>
          <w:sz w:val="30"/>
          <w:lang w:eastAsia="fr-FR"/>
        </w:rPr>
        <w:t>-1995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12.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البصائر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والذخائر،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أبو حيان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التوحيدي،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: وداد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القاضي،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صادر،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1408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1988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13.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البيان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والتبيين،الجاحظ،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دارومكتبةالهلال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،بيروت،</w:t>
      </w:r>
      <w:r w:rsidRPr="006F6E2D">
        <w:rPr>
          <w:rFonts w:ascii="Arial" w:eastAsia="Times New Roman" w:hAnsi="Arial" w:cs="AL-Sarem Bold"/>
          <w:sz w:val="30"/>
          <w:lang w:eastAsia="fr-FR"/>
        </w:rPr>
        <w:t>1423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</w:t>
      </w:r>
      <w:r w:rsidRPr="006F6E2D">
        <w:rPr>
          <w:rFonts w:ascii="Arial" w:eastAsia="Times New Roman" w:hAnsi="Arial" w:cs="AL-Sarem Bold"/>
          <w:sz w:val="30"/>
          <w:lang w:eastAsia="fr-FR"/>
        </w:rPr>
        <w:t>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14.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تاجالعروسمنجواهرالقاموس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مرتضىَّبيدي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الزتح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مجموعةمن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المحققين،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دارالهداية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15.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تاريخ آداب العرب،مصطفى صادق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الرافعي،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الكتاب العربي.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lastRenderedPageBreak/>
        <w:t>16.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التحديد في الإتقان والتجويد،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أبوعمروالداني،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الدكتورغانمقدوري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حْد،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مكتبةدارالأنبار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–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بغداد،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ساعدتجامعةبغدادعلىطبعه،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1407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</w:t>
      </w:r>
      <w:r w:rsidRPr="006F6E2D">
        <w:rPr>
          <w:rFonts w:ascii="Arial" w:eastAsia="Times New Roman" w:hAnsi="Arial" w:cs="AL-Sarem Bold"/>
          <w:sz w:val="30"/>
          <w:lang w:eastAsia="fr-FR"/>
        </w:rPr>
        <w:t>-1988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17.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التحرير والتنوير الشيخ محمد الطاهر بن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عاشور،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سحنون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للنشر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والتوزيع،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تونس،</w:t>
      </w:r>
      <w:r w:rsidRPr="006F6E2D">
        <w:rPr>
          <w:rFonts w:ascii="Arial" w:eastAsia="Times New Roman" w:hAnsi="Arial" w:cs="AL-Sarem Bold"/>
          <w:sz w:val="30"/>
          <w:lang w:eastAsia="fr-FR"/>
        </w:rPr>
        <w:t>1997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</w:t>
      </w:r>
      <w:r w:rsidRPr="006F6E2D">
        <w:rPr>
          <w:rFonts w:ascii="Arial" w:eastAsia="Times New Roman" w:hAnsi="Arial" w:cs="AL-Sarem Bold"/>
          <w:sz w:val="30"/>
          <w:lang w:eastAsia="fr-FR"/>
        </w:rPr>
        <w:t>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18.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كةالتصريف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العربي من خلال علم الأصوات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الحديث،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الطيب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البكوش،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الشر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التونسية لفنون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الرسم،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تونس.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19.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تفسيرابنكثير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دارالكتبالعلمية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منشوراتمحمدعليبيضون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–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1419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4/58.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20.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تفسير البحر المحيط،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أبوحيانالأندلسي،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الشيخعادلأحْدعبد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الموجود</w:t>
      </w:r>
      <w:r w:rsidRPr="006F6E2D">
        <w:rPr>
          <w:rFonts w:ascii="Arial" w:eastAsia="Times New Roman" w:hAnsi="Arial" w:cs="AL-Sarem Bold"/>
          <w:sz w:val="30"/>
          <w:lang w:eastAsia="fr-FR"/>
        </w:rPr>
        <w:t>-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الشيخعليمحمدمعوض،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دارالكتبالعلمية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–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لبنان،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1422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</w:t>
      </w:r>
      <w:r w:rsidRPr="006F6E2D">
        <w:rPr>
          <w:rFonts w:ascii="Arial" w:eastAsia="Times New Roman" w:hAnsi="Arial" w:cs="AL-Sarem Bold"/>
          <w:sz w:val="30"/>
          <w:lang w:eastAsia="fr-FR"/>
        </w:rPr>
        <w:t>-2001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21.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تفسير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البغوي،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البغوي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الشافعي،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تـح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: عبد الرزاق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المهدي،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إحياء التراث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العربي،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1420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هـ.</w:t>
      </w:r>
    </w:p>
    <w:p w:rsidR="00317F29" w:rsidRPr="006F6E2D" w:rsidRDefault="006F6E2D" w:rsidP="006F6E2D">
      <w:pPr>
        <w:bidi/>
        <w:rPr>
          <w:rFonts w:cs="AL-Sarem Bold"/>
        </w:rPr>
      </w:pPr>
      <w:r w:rsidRPr="006F6E2D">
        <w:rPr>
          <w:rFonts w:ascii="Arial" w:eastAsia="Times New Roman" w:hAnsi="Arial" w:cs="AL-Sarem Bold"/>
          <w:sz w:val="18"/>
          <w:lang w:eastAsia="fr-FR"/>
        </w:rPr>
        <w:t>102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22.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التلخيص في معرفة أسماء الأشياء،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أبوهلالالعسكري،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عزةحسن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،دار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طلاسللدراساتوالترجمةوالنشر،دمشق،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2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1996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23.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تمام حسان رائدا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لغويا،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عبد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الرحْن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حسن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العارف،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عالم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الكتب،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مصر،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1422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2002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24.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تهذيب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اللغة،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أبو منصور محمد بن أحْد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الأزهري،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: محمد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عوضمرعب،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 إحياء التراث العربي</w:t>
      </w:r>
      <w:r w:rsidRPr="006F6E2D">
        <w:rPr>
          <w:rFonts w:ascii="Arial" w:eastAsia="Times New Roman" w:hAnsi="Arial" w:cs="AL-Sarem Bold"/>
          <w:sz w:val="30"/>
          <w:lang w:eastAsia="fr-FR"/>
        </w:rPr>
        <w:t>-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2001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25.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جامع البيان في القراءات السبع،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أبوعمروالداني،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جامعةالشارقة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–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الإمارات،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1428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</w:t>
      </w:r>
      <w:r w:rsidRPr="006F6E2D">
        <w:rPr>
          <w:rFonts w:ascii="Arial" w:eastAsia="Times New Roman" w:hAnsi="Arial" w:cs="AL-Sarem Bold"/>
          <w:sz w:val="30"/>
          <w:lang w:eastAsia="fr-FR"/>
        </w:rPr>
        <w:t>-2007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26.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الجامع الصحيح </w:t>
      </w:r>
      <w:proofErr w:type="gram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المختصر(</w:t>
      </w:r>
      <w:proofErr w:type="gramEnd"/>
      <w:r w:rsidRPr="006F6E2D">
        <w:rPr>
          <w:rFonts w:ascii="Arial" w:eastAsia="Times New Roman" w:hAnsi="Arial" w:cs="AL-Sarem Bold"/>
          <w:szCs w:val="30"/>
          <w:rtl/>
          <w:lang w:eastAsia="fr-FR"/>
        </w:rPr>
        <w:t>صحيح البخاري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)،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محمد بن إسماعيل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البخاري،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: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مصطفىديبالبغا،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ابن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كثير،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اليمامة،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بيروت،ط</w:t>
      </w:r>
      <w:r w:rsidRPr="006F6E2D">
        <w:rPr>
          <w:rFonts w:ascii="Arial" w:eastAsia="Times New Roman" w:hAnsi="Arial" w:cs="AL-Sarem Bold"/>
          <w:sz w:val="30"/>
          <w:lang w:eastAsia="fr-FR"/>
        </w:rPr>
        <w:t>8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1407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ه،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1987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27.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الجامع لأحكام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القرآن،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القرطبي،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الكتب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المصرية،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القاهرة،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2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1384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هـ،</w:t>
      </w:r>
      <w:r w:rsidRPr="006F6E2D">
        <w:rPr>
          <w:rFonts w:ascii="Arial" w:eastAsia="Times New Roman" w:hAnsi="Arial" w:cs="AL-Sarem Bold"/>
          <w:sz w:val="30"/>
          <w:lang w:eastAsia="fr-FR"/>
        </w:rPr>
        <w:t>1964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lastRenderedPageBreak/>
        <w:t>28.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جمهرة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اللغة،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ابندريد،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: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رمزيمنيربعلبكي،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دارالعلمللملايين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-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1987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29.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ح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الأشمونى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لألفية ابن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مالك،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أبو العرفان محمد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بنحاشية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الصبان على شر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علي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الصبان،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الكتب العلمية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بيروت،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لبنان،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ط</w:t>
      </w:r>
      <w:r w:rsidRPr="006F6E2D">
        <w:rPr>
          <w:rFonts w:ascii="Arial" w:eastAsia="Times New Roman" w:hAnsi="Arial" w:cs="AL-Sarem Bold"/>
          <w:sz w:val="30"/>
          <w:lang w:eastAsia="fr-FR"/>
        </w:rPr>
        <w:t>1</w:t>
      </w:r>
      <w:proofErr w:type="spellStart"/>
      <w:r w:rsidRPr="006F6E2D">
        <w:rPr>
          <w:rFonts w:ascii="Arial" w:eastAsia="Times New Roman" w:hAnsi="Arial" w:cs="AL-Sarem Bold"/>
          <w:sz w:val="30"/>
          <w:rtl/>
          <w:lang w:eastAsia="fr-FR"/>
        </w:rPr>
        <w:t>،</w:t>
      </w:r>
      <w:proofErr w:type="spellEnd"/>
      <w:r w:rsidRPr="006F6E2D">
        <w:rPr>
          <w:rFonts w:ascii="Arial" w:eastAsia="Times New Roman" w:hAnsi="Arial" w:cs="AL-Sarem Bold"/>
          <w:sz w:val="30"/>
          <w:lang w:eastAsia="fr-FR"/>
        </w:rPr>
        <w:t>1417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هـ.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30.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حجة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القراءات،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عبد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الرحْن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بن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محمد،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أبو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زرعة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ابن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زنجلة،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تـح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: سعيد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الأفغاني،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الرسالة،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دط،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دت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.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 w:val="30"/>
          <w:lang w:eastAsia="fr-FR"/>
        </w:rPr>
        <w:t>31.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الحدود في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النحو،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الرماني،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ضمن كتاب رسائل في النحو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واللغة،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تح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>: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مصطفى جواد ويوسف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مسكوني،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المؤسسة العامة </w:t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للصحافةوالطباعة،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دار</w:t>
      </w:r>
      <w:r w:rsidRPr="006F6E2D">
        <w:rPr>
          <w:rFonts w:ascii="Times New Roman" w:eastAsia="Times New Roman" w:hAnsi="Times New Roman" w:cs="AL-Sarem Bold"/>
          <w:sz w:val="24"/>
          <w:szCs w:val="24"/>
          <w:lang w:eastAsia="fr-FR"/>
        </w:rPr>
        <w:br/>
      </w:r>
      <w:proofErr w:type="spellStart"/>
      <w:r w:rsidRPr="006F6E2D">
        <w:rPr>
          <w:rFonts w:ascii="Arial" w:eastAsia="Times New Roman" w:hAnsi="Arial" w:cs="AL-Sarem Bold"/>
          <w:szCs w:val="30"/>
          <w:rtl/>
          <w:lang w:eastAsia="fr-FR"/>
        </w:rPr>
        <w:t>الجمهورية،</w:t>
      </w:r>
      <w:proofErr w:type="spellEnd"/>
      <w:r w:rsidRPr="006F6E2D">
        <w:rPr>
          <w:rFonts w:ascii="Arial" w:eastAsia="Times New Roman" w:hAnsi="Arial" w:cs="AL-Sarem Bold"/>
          <w:szCs w:val="30"/>
          <w:rtl/>
          <w:lang w:eastAsia="fr-FR"/>
        </w:rPr>
        <w:t xml:space="preserve"> بغداد،</w:t>
      </w:r>
      <w:r w:rsidRPr="006F6E2D">
        <w:rPr>
          <w:rFonts w:ascii="Arial" w:eastAsia="Times New Roman" w:hAnsi="Arial" w:cs="AL-Sarem Bold"/>
          <w:sz w:val="30"/>
          <w:lang w:eastAsia="fr-FR"/>
        </w:rPr>
        <w:t>1388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ه،</w:t>
      </w:r>
      <w:r w:rsidRPr="006F6E2D">
        <w:rPr>
          <w:rFonts w:ascii="Arial" w:eastAsia="Times New Roman" w:hAnsi="Arial" w:cs="AL-Sarem Bold"/>
          <w:sz w:val="30"/>
          <w:lang w:eastAsia="fr-FR"/>
        </w:rPr>
        <w:t>1969</w:t>
      </w:r>
      <w:r w:rsidRPr="006F6E2D">
        <w:rPr>
          <w:rFonts w:ascii="Arial" w:eastAsia="Times New Roman" w:hAnsi="Arial" w:cs="AL-Sarem Bold"/>
          <w:szCs w:val="30"/>
          <w:rtl/>
          <w:lang w:eastAsia="fr-FR"/>
        </w:rPr>
        <w:t>م.</w:t>
      </w:r>
    </w:p>
    <w:sectPr w:rsidR="00317F29" w:rsidRPr="006F6E2D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Sare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6E2D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6E2D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6F6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2024-06-20T13:22:00Z</dcterms:created>
  <dcterms:modified xsi:type="dcterms:W3CDTF">2024-06-20T13:24:00Z</dcterms:modified>
</cp:coreProperties>
</file>