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71F40" w14:textId="4117ED20" w:rsidR="006C295F" w:rsidRPr="00A72EA4" w:rsidRDefault="006C295F" w:rsidP="00A72EA4">
      <w:pPr>
        <w:shd w:val="clear" w:color="auto" w:fill="FF7474"/>
        <w:spacing w:line="360" w:lineRule="auto"/>
        <w:jc w:val="center"/>
        <w:rPr>
          <w:rFonts w:asciiTheme="minorBidi" w:hAnsiTheme="minorBidi"/>
          <w:sz w:val="28"/>
          <w:szCs w:val="28"/>
        </w:rPr>
      </w:pPr>
      <w:r w:rsidRPr="00A72EA4">
        <w:rPr>
          <w:rFonts w:asciiTheme="minorBidi" w:hAnsiTheme="minorBidi"/>
          <w:sz w:val="28"/>
          <w:szCs w:val="28"/>
        </w:rPr>
        <w:t>Programme de la matière</w:t>
      </w:r>
    </w:p>
    <w:p w14:paraId="6812BA68" w14:textId="7E68F1E0" w:rsidR="006C295F" w:rsidRPr="00A72EA4" w:rsidRDefault="006C295F" w:rsidP="00C31A25">
      <w:pPr>
        <w:spacing w:line="360" w:lineRule="auto"/>
        <w:rPr>
          <w:rFonts w:asciiTheme="minorBidi" w:hAnsiTheme="minorBidi"/>
          <w:sz w:val="28"/>
          <w:szCs w:val="28"/>
        </w:rPr>
      </w:pPr>
      <w:r w:rsidRPr="00A72EA4">
        <w:rPr>
          <w:rFonts w:asciiTheme="minorBidi" w:hAnsiTheme="minorBidi"/>
          <w:sz w:val="28"/>
          <w:szCs w:val="28"/>
        </w:rPr>
        <w:t xml:space="preserve">Introduction générale </w:t>
      </w:r>
    </w:p>
    <w:p w14:paraId="4FD5A679" w14:textId="27B1A311" w:rsidR="00A72EA4" w:rsidRPr="00A72EA4" w:rsidRDefault="00A72EA4" w:rsidP="00C31A25">
      <w:pPr>
        <w:pStyle w:val="Paragraphedeliste"/>
        <w:numPr>
          <w:ilvl w:val="0"/>
          <w:numId w:val="1"/>
        </w:numPr>
        <w:spacing w:line="360" w:lineRule="auto"/>
        <w:rPr>
          <w:rFonts w:asciiTheme="minorBidi" w:hAnsiTheme="minorBidi"/>
          <w:sz w:val="28"/>
          <w:szCs w:val="28"/>
        </w:rPr>
      </w:pPr>
      <w:r w:rsidRPr="00A72EA4">
        <w:rPr>
          <w:rFonts w:asciiTheme="minorBidi" w:hAnsiTheme="minorBidi"/>
          <w:sz w:val="28"/>
          <w:szCs w:val="28"/>
        </w:rPr>
        <w:t xml:space="preserve">Le traitement de l’information en psychologie cognitive </w:t>
      </w:r>
    </w:p>
    <w:p w14:paraId="25AAB35A" w14:textId="64C4977A" w:rsidR="00A72EA4" w:rsidRPr="00A72EA4" w:rsidRDefault="00A72EA4" w:rsidP="00C31A25">
      <w:pPr>
        <w:pStyle w:val="Paragraphedeliste"/>
        <w:numPr>
          <w:ilvl w:val="0"/>
          <w:numId w:val="1"/>
        </w:numPr>
        <w:spacing w:line="360" w:lineRule="auto"/>
        <w:rPr>
          <w:rFonts w:asciiTheme="minorBidi" w:hAnsiTheme="minorBidi"/>
          <w:sz w:val="28"/>
          <w:szCs w:val="28"/>
        </w:rPr>
      </w:pPr>
      <w:r w:rsidRPr="00A72EA4">
        <w:rPr>
          <w:rFonts w:asciiTheme="minorBidi" w:hAnsiTheme="minorBidi"/>
          <w:sz w:val="28"/>
          <w:szCs w:val="28"/>
        </w:rPr>
        <w:t>Les styles d’apprentissage</w:t>
      </w:r>
    </w:p>
    <w:p w14:paraId="036E4F97" w14:textId="39E20AB5" w:rsidR="00A72EA4" w:rsidRPr="00A72EA4" w:rsidRDefault="00A72EA4" w:rsidP="00C31A25">
      <w:pPr>
        <w:pStyle w:val="Paragraphedeliste"/>
        <w:numPr>
          <w:ilvl w:val="0"/>
          <w:numId w:val="1"/>
        </w:numPr>
        <w:spacing w:line="360" w:lineRule="auto"/>
        <w:rPr>
          <w:rFonts w:asciiTheme="minorBidi" w:hAnsiTheme="minorBidi"/>
          <w:sz w:val="28"/>
          <w:szCs w:val="28"/>
        </w:rPr>
      </w:pPr>
      <w:r w:rsidRPr="00A72EA4">
        <w:rPr>
          <w:rFonts w:asciiTheme="minorBidi" w:hAnsiTheme="minorBidi"/>
          <w:sz w:val="28"/>
          <w:szCs w:val="28"/>
        </w:rPr>
        <w:t xml:space="preserve">Le profil du bon apprenant </w:t>
      </w:r>
    </w:p>
    <w:p w14:paraId="2DD4B1EC" w14:textId="3A012417" w:rsidR="00A72EA4" w:rsidRPr="00A72EA4" w:rsidRDefault="00A72EA4" w:rsidP="00C31A25">
      <w:pPr>
        <w:pStyle w:val="Paragraphedeliste"/>
        <w:numPr>
          <w:ilvl w:val="0"/>
          <w:numId w:val="1"/>
        </w:numPr>
        <w:spacing w:line="360" w:lineRule="auto"/>
        <w:rPr>
          <w:rFonts w:asciiTheme="minorBidi" w:hAnsiTheme="minorBidi"/>
          <w:sz w:val="28"/>
          <w:szCs w:val="28"/>
        </w:rPr>
      </w:pPr>
      <w:r w:rsidRPr="00A72EA4">
        <w:rPr>
          <w:rFonts w:asciiTheme="minorBidi" w:hAnsiTheme="minorBidi"/>
          <w:sz w:val="28"/>
          <w:szCs w:val="28"/>
        </w:rPr>
        <w:t xml:space="preserve">Les theories d’apprentissage </w:t>
      </w:r>
    </w:p>
    <w:p w14:paraId="64E093E8" w14:textId="64C99D76" w:rsidR="00C31A25" w:rsidRPr="00A72EA4" w:rsidRDefault="006C295F" w:rsidP="00C31A25">
      <w:pPr>
        <w:pStyle w:val="Paragraphedeliste"/>
        <w:numPr>
          <w:ilvl w:val="0"/>
          <w:numId w:val="1"/>
        </w:numPr>
        <w:spacing w:line="360" w:lineRule="auto"/>
        <w:rPr>
          <w:rFonts w:asciiTheme="minorBidi" w:hAnsiTheme="minorBidi"/>
          <w:sz w:val="28"/>
          <w:szCs w:val="28"/>
        </w:rPr>
      </w:pPr>
      <w:r w:rsidRPr="00A72EA4">
        <w:rPr>
          <w:rFonts w:asciiTheme="minorBidi" w:hAnsiTheme="minorBidi"/>
          <w:sz w:val="28"/>
          <w:szCs w:val="28"/>
        </w:rPr>
        <w:t xml:space="preserve">Les stratégies d'apprentissage </w:t>
      </w:r>
    </w:p>
    <w:p w14:paraId="11C656A5" w14:textId="77777777" w:rsidR="00C31A25" w:rsidRPr="00A72EA4" w:rsidRDefault="006C295F" w:rsidP="00C31A25">
      <w:pPr>
        <w:pStyle w:val="Paragraphedeliste"/>
        <w:numPr>
          <w:ilvl w:val="0"/>
          <w:numId w:val="1"/>
        </w:numPr>
        <w:spacing w:line="360" w:lineRule="auto"/>
        <w:rPr>
          <w:rFonts w:asciiTheme="minorBidi" w:hAnsiTheme="minorBidi"/>
          <w:sz w:val="28"/>
          <w:szCs w:val="28"/>
        </w:rPr>
      </w:pPr>
      <w:r w:rsidRPr="00A72EA4">
        <w:rPr>
          <w:rFonts w:asciiTheme="minorBidi" w:hAnsiTheme="minorBidi"/>
          <w:sz w:val="28"/>
          <w:szCs w:val="28"/>
        </w:rPr>
        <w:t xml:space="preserve">Définition du concept de stratégie d'apprentissage </w:t>
      </w:r>
    </w:p>
    <w:p w14:paraId="0B04EFE7" w14:textId="0CAB08B7" w:rsidR="00C31A25" w:rsidRPr="00A72EA4" w:rsidRDefault="00A72EA4" w:rsidP="00C31A25">
      <w:pPr>
        <w:pStyle w:val="Paragraphedeliste"/>
        <w:numPr>
          <w:ilvl w:val="0"/>
          <w:numId w:val="1"/>
        </w:numPr>
        <w:spacing w:line="360" w:lineRule="auto"/>
        <w:rPr>
          <w:rFonts w:asciiTheme="minorBidi" w:hAnsiTheme="minorBidi"/>
          <w:sz w:val="28"/>
          <w:szCs w:val="28"/>
        </w:rPr>
      </w:pPr>
      <w:r w:rsidRPr="00A72EA4">
        <w:rPr>
          <w:rFonts w:asciiTheme="minorBidi" w:hAnsiTheme="minorBidi"/>
          <w:sz w:val="28"/>
          <w:szCs w:val="28"/>
        </w:rPr>
        <w:t>Classification des</w:t>
      </w:r>
      <w:r w:rsidR="006C295F" w:rsidRPr="00A72EA4">
        <w:rPr>
          <w:rFonts w:asciiTheme="minorBidi" w:hAnsiTheme="minorBidi"/>
          <w:sz w:val="28"/>
          <w:szCs w:val="28"/>
        </w:rPr>
        <w:t xml:space="preserve"> stratégies d'apprentissage </w:t>
      </w:r>
    </w:p>
    <w:p w14:paraId="13E0DBE5" w14:textId="2652228F" w:rsidR="00A72EA4" w:rsidRPr="00A72EA4" w:rsidRDefault="00A72EA4" w:rsidP="00C31A25">
      <w:pPr>
        <w:pStyle w:val="Paragraphedeliste"/>
        <w:numPr>
          <w:ilvl w:val="0"/>
          <w:numId w:val="1"/>
        </w:numPr>
        <w:spacing w:line="360" w:lineRule="auto"/>
        <w:rPr>
          <w:rFonts w:asciiTheme="minorBidi" w:hAnsiTheme="minorBidi"/>
          <w:sz w:val="28"/>
          <w:szCs w:val="28"/>
        </w:rPr>
      </w:pPr>
      <w:r w:rsidRPr="00A72EA4">
        <w:rPr>
          <w:rFonts w:asciiTheme="minorBidi" w:hAnsiTheme="minorBidi"/>
          <w:sz w:val="28"/>
          <w:szCs w:val="28"/>
        </w:rPr>
        <w:t xml:space="preserve">Le profil de l’enseignant stratégique </w:t>
      </w:r>
    </w:p>
    <w:p w14:paraId="1B816518" w14:textId="187A069C" w:rsidR="006C295F" w:rsidRPr="00A72EA4" w:rsidRDefault="006C295F" w:rsidP="00C31A25">
      <w:pPr>
        <w:pStyle w:val="Paragraphedeliste"/>
        <w:numPr>
          <w:ilvl w:val="0"/>
          <w:numId w:val="1"/>
        </w:numPr>
        <w:spacing w:line="360" w:lineRule="auto"/>
        <w:rPr>
          <w:rFonts w:asciiTheme="minorBidi" w:hAnsiTheme="minorBidi"/>
          <w:sz w:val="28"/>
          <w:szCs w:val="28"/>
        </w:rPr>
      </w:pPr>
      <w:r w:rsidRPr="00A72EA4">
        <w:rPr>
          <w:rFonts w:asciiTheme="minorBidi" w:hAnsiTheme="minorBidi"/>
          <w:sz w:val="28"/>
          <w:szCs w:val="28"/>
        </w:rPr>
        <w:t xml:space="preserve">Les facteurs influençant le choix des stratégies </w:t>
      </w:r>
      <w:r w:rsidR="00A72EA4" w:rsidRPr="00A72EA4">
        <w:rPr>
          <w:rFonts w:asciiTheme="minorBidi" w:hAnsiTheme="minorBidi"/>
          <w:sz w:val="28"/>
          <w:szCs w:val="28"/>
        </w:rPr>
        <w:t>*</w:t>
      </w:r>
    </w:p>
    <w:p w14:paraId="1D5C3B35" w14:textId="58AB5CE7" w:rsidR="00A72EA4" w:rsidRPr="00A72EA4" w:rsidRDefault="00A72EA4" w:rsidP="00A72EA4">
      <w:pPr>
        <w:spacing w:line="360" w:lineRule="auto"/>
        <w:rPr>
          <w:rFonts w:asciiTheme="minorBidi" w:hAnsiTheme="minorBidi"/>
          <w:sz w:val="28"/>
          <w:szCs w:val="28"/>
        </w:rPr>
      </w:pPr>
      <w:r w:rsidRPr="00A72EA4">
        <w:rPr>
          <w:rFonts w:asciiTheme="minorBidi" w:hAnsiTheme="minorBidi"/>
          <w:sz w:val="28"/>
          <w:szCs w:val="28"/>
        </w:rPr>
        <w:t xml:space="preserve">Conclusion générale </w:t>
      </w:r>
    </w:p>
    <w:p w14:paraId="4D8CBA6D" w14:textId="67150E3B" w:rsidR="00397B58" w:rsidRPr="00A72EA4" w:rsidRDefault="00397B58" w:rsidP="00C31A25">
      <w:pPr>
        <w:spacing w:line="360" w:lineRule="auto"/>
        <w:rPr>
          <w:rFonts w:asciiTheme="minorBidi" w:hAnsiTheme="minorBidi"/>
          <w:sz w:val="28"/>
          <w:szCs w:val="28"/>
        </w:rPr>
      </w:pPr>
    </w:p>
    <w:sectPr w:rsidR="00397B58" w:rsidRPr="00A72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A231D"/>
    <w:multiLevelType w:val="hybridMultilevel"/>
    <w:tmpl w:val="94D2B5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27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5F"/>
    <w:rsid w:val="001300F1"/>
    <w:rsid w:val="00397B58"/>
    <w:rsid w:val="00673430"/>
    <w:rsid w:val="006C295F"/>
    <w:rsid w:val="0082526B"/>
    <w:rsid w:val="00A72EA4"/>
    <w:rsid w:val="00B55D64"/>
    <w:rsid w:val="00C3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6A98"/>
  <w15:chartTrackingRefBased/>
  <w15:docId w15:val="{16BA6CCE-F74B-4DA1-9AAF-97E519DA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1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2024-06-21T07:48:00Z</dcterms:created>
  <dcterms:modified xsi:type="dcterms:W3CDTF">2024-06-21T07:48:00Z</dcterms:modified>
</cp:coreProperties>
</file>