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E" w:rsidRPr="001E12FE" w:rsidRDefault="001E12FE" w:rsidP="001E12F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1E12FE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Devoir 2 :</w:t>
      </w:r>
    </w:p>
    <w:p w:rsidR="001E12FE" w:rsidRPr="001E12FE" w:rsidRDefault="001E12FE" w:rsidP="001E12FE">
      <w:pPr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 Soient deux magmas A et B issus d’un point chaud à partir d’une roche C du manteau. Les deux magmas A et B après cristallisation ont donné les deux roches A et B représentées sur la figure ci-dessous,</w:t>
      </w:r>
    </w:p>
    <w:p w:rsidR="001E12FE" w:rsidRPr="002B4A58" w:rsidRDefault="001E12FE" w:rsidP="001E12FE">
      <w:pPr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294201" cy="3774332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15" t="19512" r="33386" b="3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58" cy="377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1) Quel est le phénomène qui a permis la fusion en magma dans ce cas? </w:t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2) Cette roche C est-elle acide, intermédiaire, basique ou ultrabasique ? Les deux magmas A et B sont issus de la même roche C par fusion, </w:t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3) classez ces deux magmas A et B selon leur nature, </w:t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4) Quels sont les deux phénomènes importants qui ont fait que les deux magmas soient différents malgré leur origine commune ? </w:t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5) Lequel des deux magmas A et B est le plus différencié? Donner une seule justification à partir de la figure 1? </w:t>
      </w:r>
    </w:p>
    <w:p w:rsidR="001E12FE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 xml:space="preserve">6) Donner les compositions minéralogiques (minéraux en %) des trois roches A, B et C? </w:t>
      </w:r>
    </w:p>
    <w:p w:rsidR="00C20081" w:rsidRPr="001E12FE" w:rsidRDefault="001E12FE" w:rsidP="001E12FE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E12FE">
        <w:rPr>
          <w:rFonts w:asciiTheme="majorBidi" w:hAnsiTheme="majorBidi" w:cstheme="majorBidi"/>
          <w:sz w:val="28"/>
          <w:szCs w:val="28"/>
          <w:lang w:val="fr-FR"/>
        </w:rPr>
        <w:t>7) Calculez le degré de coloration des trois roches A, B et C?</w:t>
      </w:r>
    </w:p>
    <w:sectPr w:rsidR="00C20081" w:rsidRPr="001E12FE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12FE"/>
    <w:rsid w:val="001E12FE"/>
    <w:rsid w:val="00C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2024-06-14T22:17:00Z</dcterms:created>
  <dcterms:modified xsi:type="dcterms:W3CDTF">2024-06-14T22:20:00Z</dcterms:modified>
</cp:coreProperties>
</file>