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FD" w:rsidRDefault="009806FD" w:rsidP="009806FD">
      <w:pPr>
        <w:shd w:val="clear" w:color="auto" w:fill="FFFFFF"/>
        <w:spacing w:after="100" w:afterAutospacing="1" w:line="240" w:lineRule="auto"/>
        <w:jc w:val="right"/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eastAsia="fr-FR" w:bidi="ar-DZ"/>
        </w:rPr>
      </w:pPr>
      <w:r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eastAsia="fr-FR" w:bidi="ar-DZ"/>
        </w:rPr>
        <w:t xml:space="preserve">المناهج السياقية </w:t>
      </w:r>
      <w:proofErr w:type="gramStart"/>
      <w:r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eastAsia="fr-FR" w:bidi="ar-DZ"/>
        </w:rPr>
        <w:t>هي :</w:t>
      </w:r>
      <w:proofErr w:type="gramEnd"/>
      <w:r w:rsidRPr="009806FD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eastAsia="fr-FR" w:bidi="ar-DZ"/>
        </w:rPr>
        <w:t> </w:t>
      </w:r>
      <w:r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eastAsia="fr-FR" w:bidi="ar-DZ"/>
        </w:rPr>
        <w:t xml:space="preserve">    </w:t>
      </w:r>
    </w:p>
    <w:p w:rsidR="009806FD" w:rsidRDefault="009806FD" w:rsidP="009806FD">
      <w:pPr>
        <w:shd w:val="clear" w:color="auto" w:fill="FFFFFF"/>
        <w:spacing w:after="100" w:afterAutospacing="1" w:line="240" w:lineRule="auto"/>
        <w:jc w:val="right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 w:rsidRPr="009806FD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eastAsia="fr-FR" w:bidi="ar-DZ"/>
        </w:rPr>
        <w:t xml:space="preserve">هي المناهج التي تركز على السياق العام والخارجي، كالمؤلف وما يحيط </w:t>
      </w:r>
      <w:proofErr w:type="spellStart"/>
      <w:r w:rsidRPr="009806FD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eastAsia="fr-FR" w:bidi="ar-DZ"/>
        </w:rPr>
        <w:t>به</w:t>
      </w:r>
      <w:proofErr w:type="spellEnd"/>
      <w:r w:rsidRPr="009806FD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eastAsia="fr-FR" w:bidi="ar-DZ"/>
        </w:rPr>
        <w:t xml:space="preserve">، وهي دعوة للإلمام بالمرجعيات الخارجية باعتبارها المبدع </w:t>
      </w:r>
      <w:proofErr w:type="spellStart"/>
      <w:r w:rsidRPr="009806FD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eastAsia="fr-FR" w:bidi="ar-DZ"/>
        </w:rPr>
        <w:t>الحقيقي</w:t>
      </w:r>
      <w:proofErr w:type="spellEnd"/>
      <w:r w:rsidRPr="009806FD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eastAsia="fr-FR" w:bidi="ar-DZ"/>
        </w:rPr>
        <w:t xml:space="preserve"> والسبيل الرئيس لفهم </w:t>
      </w:r>
      <w:proofErr w:type="spellStart"/>
      <w:r w:rsidRPr="009806FD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eastAsia="fr-FR" w:bidi="ar-DZ"/>
        </w:rPr>
        <w:t>النصه</w:t>
      </w:r>
      <w:proofErr w:type="spellEnd"/>
      <w:r w:rsidRPr="009806FD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eastAsia="fr-FR" w:bidi="ar-DZ"/>
        </w:rPr>
        <w:t xml:space="preserve"> </w:t>
      </w:r>
      <w:proofErr w:type="spellStart"/>
      <w:r w:rsidRPr="009806FD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eastAsia="fr-FR" w:bidi="ar-DZ"/>
        </w:rPr>
        <w:t>وتحليلة</w:t>
      </w:r>
      <w:proofErr w:type="spellEnd"/>
      <w:r w:rsidRPr="009806FD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eastAsia="fr-FR" w:bidi="ar-DZ"/>
        </w:rPr>
        <w:t xml:space="preserve"> </w:t>
      </w:r>
      <w:r w:rsidRPr="009806F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ونخص بالذكر من جملة مناهجها، التاريخي والنفسي والاجتماعي لما حظيت </w:t>
      </w:r>
      <w:proofErr w:type="spellStart"/>
      <w:r w:rsidRPr="009806FD">
        <w:rPr>
          <w:rFonts w:ascii="Traditional Arabic" w:hAnsi="Traditional Arabic" w:cs="Traditional Arabic"/>
          <w:sz w:val="32"/>
          <w:szCs w:val="32"/>
          <w:rtl/>
          <w:lang w:bidi="ar-DZ"/>
        </w:rPr>
        <w:t>به</w:t>
      </w:r>
      <w:proofErr w:type="spellEnd"/>
      <w:r w:rsidRPr="009806F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من قبول في الأوساط النقدية الغربية والعربية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</w:p>
    <w:p w:rsidR="009806FD" w:rsidRPr="009806FD" w:rsidRDefault="009806FD" w:rsidP="009806FD">
      <w:pPr>
        <w:shd w:val="clear" w:color="auto" w:fill="FFFFFF"/>
        <w:spacing w:after="100" w:afterAutospacing="1" w:line="240" w:lineRule="auto"/>
        <w:jc w:val="right"/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eastAsia="fr-FR"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للتوسع أكثر لابد من  الإطلاع على هذه المراجع:</w:t>
      </w:r>
    </w:p>
    <w:p w:rsidR="009806FD" w:rsidRPr="009806FD" w:rsidRDefault="009806FD" w:rsidP="009806FD">
      <w:pPr>
        <w:pStyle w:val="Paragraphedeliste"/>
        <w:numPr>
          <w:ilvl w:val="0"/>
          <w:numId w:val="2"/>
        </w:numPr>
        <w:bidi/>
        <w:spacing w:line="36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gramStart"/>
      <w:r w:rsidRPr="009806FD">
        <w:rPr>
          <w:rFonts w:ascii="Traditional Arabic" w:hAnsi="Traditional Arabic" w:cs="Traditional Arabic"/>
          <w:sz w:val="32"/>
          <w:szCs w:val="32"/>
          <w:rtl/>
          <w:lang w:bidi="ar-DZ"/>
        </w:rPr>
        <w:t>وليد</w:t>
      </w:r>
      <w:proofErr w:type="gramEnd"/>
      <w:r w:rsidRPr="009806F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قصاب، مناهج النقد الأدب الحديث رؤية إسلامية.</w:t>
      </w:r>
    </w:p>
    <w:p w:rsidR="009806FD" w:rsidRPr="009806FD" w:rsidRDefault="009806FD" w:rsidP="009806FD">
      <w:pPr>
        <w:pStyle w:val="Paragraphedeliste"/>
        <w:numPr>
          <w:ilvl w:val="0"/>
          <w:numId w:val="2"/>
        </w:numPr>
        <w:bidi/>
        <w:spacing w:line="36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9806F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بسام </w:t>
      </w:r>
      <w:proofErr w:type="spellStart"/>
      <w:r w:rsidRPr="009806FD">
        <w:rPr>
          <w:rFonts w:ascii="Traditional Arabic" w:hAnsi="Traditional Arabic" w:cs="Traditional Arabic"/>
          <w:sz w:val="32"/>
          <w:szCs w:val="32"/>
          <w:rtl/>
          <w:lang w:bidi="ar-DZ"/>
        </w:rPr>
        <w:t>قطوس</w:t>
      </w:r>
      <w:proofErr w:type="spellEnd"/>
      <w:r w:rsidRPr="009806FD">
        <w:rPr>
          <w:rFonts w:ascii="Traditional Arabic" w:hAnsi="Traditional Arabic" w:cs="Traditional Arabic"/>
          <w:sz w:val="32"/>
          <w:szCs w:val="32"/>
          <w:rtl/>
          <w:lang w:bidi="ar-DZ"/>
        </w:rPr>
        <w:t>، دليل النظرية النقدية المعاصرة مناهج وتيارات.</w:t>
      </w:r>
    </w:p>
    <w:p w:rsidR="009806FD" w:rsidRPr="009806FD" w:rsidRDefault="009806FD" w:rsidP="009806FD">
      <w:pPr>
        <w:pStyle w:val="Paragraphedeliste"/>
        <w:numPr>
          <w:ilvl w:val="0"/>
          <w:numId w:val="2"/>
        </w:numPr>
        <w:bidi/>
        <w:spacing w:line="36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9806F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بسام </w:t>
      </w:r>
      <w:proofErr w:type="spellStart"/>
      <w:r w:rsidRPr="009806FD">
        <w:rPr>
          <w:rFonts w:ascii="Traditional Arabic" w:hAnsi="Traditional Arabic" w:cs="Traditional Arabic"/>
          <w:sz w:val="32"/>
          <w:szCs w:val="32"/>
          <w:rtl/>
          <w:lang w:bidi="ar-DZ"/>
        </w:rPr>
        <w:t>قطوس</w:t>
      </w:r>
      <w:proofErr w:type="spellEnd"/>
      <w:r w:rsidRPr="009806FD">
        <w:rPr>
          <w:rFonts w:ascii="Traditional Arabic" w:hAnsi="Traditional Arabic" w:cs="Traditional Arabic"/>
          <w:sz w:val="32"/>
          <w:szCs w:val="32"/>
          <w:rtl/>
          <w:lang w:bidi="ar-DZ"/>
        </w:rPr>
        <w:t>، المدخل إلى مناهج النقد المعاصر.</w:t>
      </w:r>
    </w:p>
    <w:p w:rsidR="009806FD" w:rsidRPr="009806FD" w:rsidRDefault="009806FD" w:rsidP="009806FD">
      <w:pPr>
        <w:pStyle w:val="Paragraphedeliste"/>
        <w:numPr>
          <w:ilvl w:val="0"/>
          <w:numId w:val="2"/>
        </w:numPr>
        <w:bidi/>
        <w:spacing w:line="36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9806F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عبد الله خضر حمد، مناهج النقد الأدبي السياقية </w:t>
      </w:r>
      <w:proofErr w:type="spellStart"/>
      <w:r w:rsidRPr="009806FD">
        <w:rPr>
          <w:rFonts w:ascii="Traditional Arabic" w:hAnsi="Traditional Arabic" w:cs="Traditional Arabic"/>
          <w:sz w:val="32"/>
          <w:szCs w:val="32"/>
          <w:rtl/>
          <w:lang w:bidi="ar-DZ"/>
        </w:rPr>
        <w:t>والنسقية</w:t>
      </w:r>
      <w:proofErr w:type="spellEnd"/>
      <w:r w:rsidRPr="009806FD">
        <w:rPr>
          <w:rFonts w:ascii="Traditional Arabic" w:hAnsi="Traditional Arabic" w:cs="Traditional Arabic"/>
          <w:sz w:val="32"/>
          <w:szCs w:val="32"/>
          <w:rtl/>
          <w:lang w:bidi="ar-DZ"/>
        </w:rPr>
        <w:t>.</w:t>
      </w:r>
    </w:p>
    <w:p w:rsidR="007C467E" w:rsidRDefault="007C467E" w:rsidP="009806FD">
      <w:pPr>
        <w:jc w:val="right"/>
        <w:rPr>
          <w:lang w:bidi="ar-DZ"/>
        </w:rPr>
      </w:pPr>
    </w:p>
    <w:sectPr w:rsidR="007C467E" w:rsidSect="007C4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34F70"/>
    <w:multiLevelType w:val="hybridMultilevel"/>
    <w:tmpl w:val="7D5A6F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341F3"/>
    <w:multiLevelType w:val="multilevel"/>
    <w:tmpl w:val="952C4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806FD"/>
    <w:rsid w:val="006958AD"/>
    <w:rsid w:val="007C467E"/>
    <w:rsid w:val="00980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6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0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806F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806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4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0375">
              <w:marLeft w:val="0"/>
              <w:marRight w:val="0"/>
              <w:marTop w:val="0"/>
              <w:marBottom w:val="0"/>
              <w:divBdr>
                <w:top w:val="single" w:sz="2" w:space="2" w:color="DEE2E6"/>
                <w:left w:val="single" w:sz="2" w:space="2" w:color="DEE2E6"/>
                <w:bottom w:val="single" w:sz="2" w:space="2" w:color="DEE2E6"/>
                <w:right w:val="single" w:sz="2" w:space="2" w:color="DEE2E6"/>
              </w:divBdr>
              <w:divsChild>
                <w:div w:id="181760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0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8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01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96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56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864316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473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2024-05-29T15:14:00Z</dcterms:created>
  <dcterms:modified xsi:type="dcterms:W3CDTF">2024-05-29T15:14:00Z</dcterms:modified>
</cp:coreProperties>
</file>