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85C72" w14:textId="3A00462E" w:rsidR="0010614C" w:rsidRDefault="0010614C" w:rsidP="0010614C">
      <w:pPr>
        <w:spacing w:line="360" w:lineRule="auto"/>
        <w:jc w:val="both"/>
        <w:rPr>
          <w:rFonts w:asciiTheme="majorBidi" w:hAnsiTheme="majorBidi" w:cstheme="majorBidi"/>
          <w:b/>
          <w:bCs/>
          <w:color w:val="0D0D0D"/>
          <w:sz w:val="24"/>
          <w:szCs w:val="24"/>
          <w:shd w:val="clear" w:color="auto" w:fill="FFFFFF"/>
        </w:rPr>
      </w:pPr>
    </w:p>
    <w:p w14:paraId="0CF2B477" w14:textId="77777777" w:rsidR="004B2123" w:rsidRPr="00621EDC" w:rsidRDefault="004B2123" w:rsidP="004B2123">
      <w:pPr>
        <w:spacing w:line="240" w:lineRule="auto"/>
        <w:rPr>
          <w:rFonts w:asciiTheme="majorBidi" w:hAnsiTheme="majorBidi" w:cstheme="majorBidi"/>
          <w:sz w:val="28"/>
          <w:szCs w:val="28"/>
        </w:rPr>
      </w:pPr>
      <w:r w:rsidRPr="00621EDC">
        <w:rPr>
          <w:rFonts w:asciiTheme="majorBidi" w:hAnsiTheme="majorBidi" w:cstheme="majorBidi"/>
          <w:sz w:val="28"/>
          <w:szCs w:val="28"/>
        </w:rPr>
        <w:t>Institute: Urban management techniques</w:t>
      </w:r>
    </w:p>
    <w:p w14:paraId="5601E92F" w14:textId="77777777" w:rsidR="004B2123" w:rsidRPr="00621EDC" w:rsidRDefault="004B2123" w:rsidP="004B2123">
      <w:pPr>
        <w:spacing w:line="240" w:lineRule="auto"/>
        <w:rPr>
          <w:rFonts w:asciiTheme="majorBidi" w:hAnsiTheme="majorBidi" w:cstheme="majorBidi"/>
          <w:sz w:val="28"/>
          <w:szCs w:val="28"/>
        </w:rPr>
      </w:pPr>
      <w:r w:rsidRPr="00621EDC">
        <w:rPr>
          <w:rFonts w:asciiTheme="majorBidi" w:hAnsiTheme="majorBidi" w:cstheme="majorBidi"/>
          <w:sz w:val="28"/>
          <w:szCs w:val="28"/>
        </w:rPr>
        <w:t xml:space="preserve">University of Oum El </w:t>
      </w:r>
      <w:proofErr w:type="spellStart"/>
      <w:r w:rsidRPr="00621EDC">
        <w:rPr>
          <w:rFonts w:asciiTheme="majorBidi" w:hAnsiTheme="majorBidi" w:cstheme="majorBidi"/>
          <w:sz w:val="28"/>
          <w:szCs w:val="28"/>
        </w:rPr>
        <w:t>Bouaghi</w:t>
      </w:r>
      <w:proofErr w:type="spellEnd"/>
    </w:p>
    <w:p w14:paraId="225B9382" w14:textId="77777777" w:rsidR="004B2123" w:rsidRPr="00621EDC" w:rsidRDefault="004B2123" w:rsidP="004B2123">
      <w:pPr>
        <w:spacing w:line="240" w:lineRule="auto"/>
        <w:rPr>
          <w:rFonts w:asciiTheme="majorBidi" w:hAnsiTheme="majorBidi" w:cstheme="majorBidi"/>
          <w:sz w:val="28"/>
          <w:szCs w:val="28"/>
        </w:rPr>
      </w:pPr>
      <w:r w:rsidRPr="00621EDC">
        <w:rPr>
          <w:rFonts w:asciiTheme="majorBidi" w:hAnsiTheme="majorBidi" w:cstheme="majorBidi"/>
          <w:sz w:val="28"/>
          <w:szCs w:val="28"/>
        </w:rPr>
        <w:t>Module: Initiation to town planning</w:t>
      </w:r>
      <w:r>
        <w:rPr>
          <w:rFonts w:asciiTheme="majorBidi" w:hAnsiTheme="majorBidi" w:cstheme="majorBidi"/>
          <w:sz w:val="28"/>
          <w:szCs w:val="28"/>
        </w:rPr>
        <w:t xml:space="preserve"> 2</w:t>
      </w:r>
    </w:p>
    <w:p w14:paraId="7AE2DBB3" w14:textId="68CA6480" w:rsidR="004B2123" w:rsidRDefault="004B2123" w:rsidP="004B2123">
      <w:pPr>
        <w:spacing w:line="360" w:lineRule="auto"/>
        <w:jc w:val="both"/>
        <w:rPr>
          <w:rFonts w:asciiTheme="majorBidi" w:hAnsiTheme="majorBidi" w:cstheme="majorBidi"/>
          <w:b/>
          <w:bCs/>
          <w:color w:val="0D0D0D"/>
          <w:sz w:val="24"/>
          <w:szCs w:val="24"/>
          <w:shd w:val="clear" w:color="auto" w:fill="FFFFFF"/>
        </w:rPr>
      </w:pPr>
      <w:r w:rsidRPr="00621EDC">
        <w:rPr>
          <w:rFonts w:asciiTheme="majorBidi" w:hAnsiTheme="majorBidi" w:cstheme="majorBidi"/>
          <w:sz w:val="28"/>
          <w:szCs w:val="28"/>
        </w:rPr>
        <w:t xml:space="preserve">Course N </w:t>
      </w:r>
      <w:r>
        <w:rPr>
          <w:rFonts w:asciiTheme="majorBidi" w:hAnsiTheme="majorBidi" w:cstheme="majorBidi"/>
          <w:b/>
          <w:bCs/>
          <w:sz w:val="28"/>
          <w:szCs w:val="28"/>
        </w:rPr>
        <w:t>07:</w:t>
      </w:r>
      <w:r w:rsidRPr="0030049B">
        <w:rPr>
          <w:rFonts w:asciiTheme="majorBidi" w:hAnsiTheme="majorBidi" w:cstheme="majorBidi"/>
          <w:b/>
          <w:bCs/>
          <w:color w:val="0D0D0D"/>
          <w:sz w:val="24"/>
          <w:szCs w:val="24"/>
          <w:shd w:val="clear" w:color="auto" w:fill="FFFFFF"/>
        </w:rPr>
        <w:t xml:space="preserve"> Urban</w:t>
      </w:r>
      <w:r w:rsidRPr="0030049B">
        <w:rPr>
          <w:rFonts w:asciiTheme="majorBidi" w:hAnsiTheme="majorBidi" w:cstheme="majorBidi"/>
          <w:b/>
          <w:bCs/>
          <w:color w:val="0D0D0D"/>
          <w:sz w:val="24"/>
          <w:szCs w:val="24"/>
          <w:shd w:val="clear" w:color="auto" w:fill="FFFFFF"/>
        </w:rPr>
        <w:t xml:space="preserve"> network in Algeria</w:t>
      </w:r>
    </w:p>
    <w:p w14:paraId="7F50899A" w14:textId="77777777" w:rsidR="004B2123" w:rsidRPr="00621EDC" w:rsidRDefault="004B2123" w:rsidP="004B2123">
      <w:pPr>
        <w:pBdr>
          <w:bottom w:val="single" w:sz="6" w:space="1" w:color="auto"/>
        </w:pBdr>
        <w:spacing w:line="240" w:lineRule="auto"/>
        <w:rPr>
          <w:rFonts w:asciiTheme="majorBidi" w:hAnsiTheme="majorBidi" w:cstheme="majorBidi"/>
          <w:sz w:val="28"/>
          <w:szCs w:val="28"/>
        </w:rPr>
      </w:pPr>
      <w:proofErr w:type="spellStart"/>
      <w:r w:rsidRPr="00621EDC">
        <w:rPr>
          <w:rFonts w:asciiTheme="majorBidi" w:hAnsiTheme="majorBidi" w:cstheme="majorBidi"/>
          <w:sz w:val="28"/>
          <w:szCs w:val="28"/>
        </w:rPr>
        <w:t>Mme</w:t>
      </w:r>
      <w:proofErr w:type="spellEnd"/>
      <w:r w:rsidRPr="00621EDC">
        <w:rPr>
          <w:rFonts w:asciiTheme="majorBidi" w:hAnsiTheme="majorBidi" w:cstheme="majorBidi"/>
          <w:sz w:val="28"/>
          <w:szCs w:val="28"/>
        </w:rPr>
        <w:t>: Guemini Nassira</w:t>
      </w:r>
    </w:p>
    <w:p w14:paraId="259CD70C" w14:textId="77777777" w:rsidR="004B2123" w:rsidRDefault="004B2123" w:rsidP="0010614C">
      <w:pPr>
        <w:spacing w:line="360" w:lineRule="auto"/>
        <w:jc w:val="both"/>
        <w:rPr>
          <w:rFonts w:asciiTheme="majorBidi" w:hAnsiTheme="majorBidi" w:cstheme="majorBidi"/>
          <w:b/>
          <w:bCs/>
          <w:color w:val="0D0D0D"/>
          <w:sz w:val="24"/>
          <w:szCs w:val="24"/>
          <w:shd w:val="clear" w:color="auto" w:fill="FFFFFF"/>
        </w:rPr>
      </w:pPr>
    </w:p>
    <w:p w14:paraId="4F91D9C6" w14:textId="77777777" w:rsidR="0030049B" w:rsidRPr="0030049B" w:rsidRDefault="0030049B" w:rsidP="0010614C">
      <w:pPr>
        <w:spacing w:line="360" w:lineRule="auto"/>
        <w:jc w:val="both"/>
        <w:rPr>
          <w:rFonts w:asciiTheme="majorBidi" w:hAnsiTheme="majorBidi" w:cstheme="majorBidi"/>
          <w:b/>
          <w:bCs/>
          <w:color w:val="0D0D0D"/>
          <w:sz w:val="24"/>
          <w:szCs w:val="24"/>
          <w:shd w:val="clear" w:color="auto" w:fill="FFFFFF"/>
        </w:rPr>
      </w:pPr>
    </w:p>
    <w:p w14:paraId="55E5F030" w14:textId="6561DDF2" w:rsidR="0010614C" w:rsidRPr="0010614C" w:rsidRDefault="0030049B" w:rsidP="0010614C">
      <w:pPr>
        <w:spacing w:line="360" w:lineRule="auto"/>
        <w:jc w:val="both"/>
        <w:rPr>
          <w:rFonts w:asciiTheme="majorBidi" w:hAnsiTheme="majorBidi" w:cstheme="majorBidi"/>
          <w:color w:val="0D0D0D"/>
          <w:sz w:val="24"/>
          <w:szCs w:val="24"/>
          <w:shd w:val="clear" w:color="auto" w:fill="FFFFFF"/>
        </w:rPr>
      </w:pPr>
      <w:r w:rsidRPr="0030049B">
        <w:rPr>
          <w:rFonts w:asciiTheme="majorBidi" w:hAnsiTheme="majorBidi" w:cstheme="majorBidi"/>
          <w:b/>
          <w:bCs/>
          <w:color w:val="0D0D0D"/>
          <w:sz w:val="24"/>
          <w:szCs w:val="24"/>
          <w:shd w:val="clear" w:color="auto" w:fill="FFFFFF"/>
        </w:rPr>
        <w:t xml:space="preserve">Urban </w:t>
      </w:r>
      <w:r w:rsidR="004B2123" w:rsidRPr="0030049B">
        <w:rPr>
          <w:rFonts w:asciiTheme="majorBidi" w:hAnsiTheme="majorBidi" w:cstheme="majorBidi"/>
          <w:b/>
          <w:bCs/>
          <w:color w:val="0D0D0D"/>
          <w:sz w:val="24"/>
          <w:szCs w:val="24"/>
          <w:shd w:val="clear" w:color="auto" w:fill="FFFFFF"/>
        </w:rPr>
        <w:t>network</w:t>
      </w:r>
      <w:r w:rsidR="004B2123">
        <w:rPr>
          <w:rFonts w:asciiTheme="majorBidi" w:hAnsiTheme="majorBidi" w:cstheme="majorBidi"/>
          <w:b/>
          <w:bCs/>
          <w:color w:val="0D0D0D"/>
          <w:sz w:val="24"/>
          <w:szCs w:val="24"/>
          <w:shd w:val="clear" w:color="auto" w:fill="FFFFFF"/>
        </w:rPr>
        <w:t>:</w:t>
      </w:r>
      <w:r>
        <w:rPr>
          <w:rFonts w:asciiTheme="majorBidi" w:hAnsiTheme="majorBidi" w:cstheme="majorBidi"/>
          <w:b/>
          <w:bCs/>
          <w:color w:val="0D0D0D"/>
          <w:sz w:val="24"/>
          <w:szCs w:val="24"/>
          <w:shd w:val="clear" w:color="auto" w:fill="FFFFFF"/>
        </w:rPr>
        <w:t xml:space="preserve"> Definition</w:t>
      </w:r>
    </w:p>
    <w:p w14:paraId="384018EE" w14:textId="568F636B" w:rsidR="0010614C" w:rsidRDefault="0010614C" w:rsidP="0010614C">
      <w:pPr>
        <w:spacing w:line="360" w:lineRule="auto"/>
        <w:jc w:val="both"/>
        <w:rPr>
          <w:rFonts w:asciiTheme="majorBidi" w:hAnsiTheme="majorBidi" w:cstheme="majorBidi"/>
          <w:color w:val="0D0D0D"/>
          <w:sz w:val="24"/>
          <w:szCs w:val="24"/>
          <w:shd w:val="clear" w:color="auto" w:fill="FFFFFF"/>
        </w:rPr>
      </w:pPr>
      <w:r w:rsidRPr="0010614C">
        <w:rPr>
          <w:rFonts w:asciiTheme="majorBidi" w:hAnsiTheme="majorBidi" w:cstheme="majorBidi"/>
          <w:color w:val="0D0D0D"/>
          <w:sz w:val="24"/>
          <w:szCs w:val="24"/>
          <w:shd w:val="clear" w:color="auto" w:fill="FFFFFF"/>
        </w:rPr>
        <w:t>An urban network refers to the interconnected system of cities, towns, and other urban areas within a region or country. It encompasses the physical, economic, social, and cultural linkages between these urban centers, including transportation networks, communication infrastructure, trade routes, and flows of people, goods, and information. Urban networks play a crucial role in shaping regional development, economic growth, and social interactions by facilitating the exchange of resources, ideas, and opportunities between different urban nodes within the network.</w:t>
      </w:r>
    </w:p>
    <w:p w14:paraId="79C03A5C" w14:textId="277CC71E" w:rsidR="0010614C" w:rsidRDefault="0010614C" w:rsidP="0010614C">
      <w:pPr>
        <w:spacing w:line="360" w:lineRule="auto"/>
        <w:rPr>
          <w:rFonts w:asciiTheme="majorBidi" w:hAnsiTheme="majorBidi" w:cstheme="majorBidi"/>
          <w:sz w:val="24"/>
          <w:szCs w:val="24"/>
        </w:rPr>
      </w:pPr>
      <w:r w:rsidRPr="0010614C">
        <w:rPr>
          <w:rFonts w:asciiTheme="majorBidi" w:hAnsiTheme="majorBidi" w:cstheme="majorBidi"/>
          <w:sz w:val="24"/>
          <w:szCs w:val="24"/>
        </w:rPr>
        <w:t xml:space="preserve">In the context of Algeria, an urban network refers to the system of cities and towns within the country and the connections between them. </w:t>
      </w:r>
    </w:p>
    <w:p w14:paraId="7921464B" w14:textId="1339ED38" w:rsidR="0010614C" w:rsidRPr="0010614C" w:rsidRDefault="0010614C" w:rsidP="0010614C">
      <w:pPr>
        <w:spacing w:line="360" w:lineRule="auto"/>
        <w:rPr>
          <w:rFonts w:asciiTheme="majorBidi" w:hAnsiTheme="majorBidi" w:cstheme="majorBidi"/>
          <w:sz w:val="24"/>
          <w:szCs w:val="24"/>
        </w:rPr>
      </w:pPr>
      <w:r w:rsidRPr="0010614C">
        <w:rPr>
          <w:rFonts w:asciiTheme="majorBidi" w:hAnsiTheme="majorBidi" w:cstheme="majorBidi"/>
          <w:sz w:val="24"/>
          <w:szCs w:val="24"/>
        </w:rPr>
        <w:t xml:space="preserve">Algeria, like many countries, has a network of urban areas that </w:t>
      </w:r>
      <w:r w:rsidRPr="0030049B">
        <w:rPr>
          <w:rFonts w:asciiTheme="majorBidi" w:hAnsiTheme="majorBidi" w:cstheme="majorBidi"/>
          <w:b/>
          <w:bCs/>
          <w:sz w:val="24"/>
          <w:szCs w:val="24"/>
        </w:rPr>
        <w:t>vary in size, function, and importance</w:t>
      </w:r>
      <w:r w:rsidRPr="0010614C">
        <w:rPr>
          <w:rFonts w:asciiTheme="majorBidi" w:hAnsiTheme="majorBidi" w:cstheme="majorBidi"/>
          <w:sz w:val="24"/>
          <w:szCs w:val="24"/>
        </w:rPr>
        <w:t xml:space="preserve">. This network includes major cities such as Algiers (the capital), Oran, and Constantine, as well as numerous </w:t>
      </w:r>
      <w:r w:rsidR="0030049B">
        <w:rPr>
          <w:rFonts w:asciiTheme="majorBidi" w:hAnsiTheme="majorBidi" w:cstheme="majorBidi"/>
          <w:sz w:val="24"/>
          <w:szCs w:val="24"/>
        </w:rPr>
        <w:t xml:space="preserve">medium and </w:t>
      </w:r>
      <w:r w:rsidRPr="0010614C">
        <w:rPr>
          <w:rFonts w:asciiTheme="majorBidi" w:hAnsiTheme="majorBidi" w:cstheme="majorBidi"/>
          <w:sz w:val="24"/>
          <w:szCs w:val="24"/>
        </w:rPr>
        <w:t>smaller towns and urban centers.</w:t>
      </w:r>
    </w:p>
    <w:p w14:paraId="646D74F9" w14:textId="6F8F0621" w:rsidR="0010614C" w:rsidRPr="0010614C" w:rsidRDefault="0010614C" w:rsidP="007A5A28">
      <w:pPr>
        <w:spacing w:line="360" w:lineRule="auto"/>
        <w:jc w:val="both"/>
        <w:rPr>
          <w:rFonts w:asciiTheme="majorBidi" w:hAnsiTheme="majorBidi" w:cstheme="majorBidi"/>
          <w:sz w:val="24"/>
          <w:szCs w:val="24"/>
        </w:rPr>
      </w:pPr>
      <w:r w:rsidRPr="0010614C">
        <w:rPr>
          <w:rFonts w:asciiTheme="majorBidi" w:hAnsiTheme="majorBidi" w:cstheme="majorBidi"/>
          <w:sz w:val="24"/>
          <w:szCs w:val="24"/>
        </w:rPr>
        <w:t>The urban network in Algeria plays a significant role in the country's development and economy, serving as centers for industry, commerce, education, healthcare, and administration. Transportation infrastructure, including roads, railways, and airports, links these urban areas together, facilitating the movement of people and goods throughout the country. Additionally, Algeria's urban network influences patterns of migration, employment, and urbanization as people move between rural areas and cities in search of opportunities.</w:t>
      </w:r>
    </w:p>
    <w:p w14:paraId="5D2C7EDA" w14:textId="12CE6478" w:rsidR="00CB2229" w:rsidRDefault="007A5A28" w:rsidP="007A5A28">
      <w:pPr>
        <w:spacing w:line="360" w:lineRule="auto"/>
        <w:jc w:val="both"/>
        <w:rPr>
          <w:rFonts w:asciiTheme="majorBidi" w:hAnsiTheme="majorBidi" w:cstheme="majorBidi"/>
          <w:sz w:val="24"/>
          <w:szCs w:val="24"/>
        </w:rPr>
      </w:pPr>
      <w:r w:rsidRPr="007A5A28">
        <w:rPr>
          <w:rFonts w:asciiTheme="majorBidi" w:hAnsiTheme="majorBidi" w:cstheme="majorBidi"/>
          <w:sz w:val="24"/>
          <w:szCs w:val="24"/>
        </w:rPr>
        <w:t>The economic and social transformations that Algeria has experienced in recent decades have led to significant changes in the geographical distribution of its populations The demographic transition from a traditional rural to a modern urban society is considered as the most striking fact. The urbanization movement has significantly strengthened in conjunction with administrative promotions and industrial settlements throughout the country.</w:t>
      </w:r>
    </w:p>
    <w:p w14:paraId="50A1D0C2" w14:textId="70CE32D8" w:rsidR="0030049B" w:rsidRDefault="0030049B" w:rsidP="007A5A28">
      <w:pPr>
        <w:spacing w:line="360" w:lineRule="auto"/>
        <w:jc w:val="both"/>
        <w:rPr>
          <w:rFonts w:asciiTheme="majorBidi" w:hAnsiTheme="majorBidi" w:cstheme="majorBidi"/>
          <w:b/>
          <w:bCs/>
          <w:sz w:val="24"/>
          <w:szCs w:val="24"/>
        </w:rPr>
      </w:pPr>
      <w:r w:rsidRPr="0030049B">
        <w:rPr>
          <w:rFonts w:asciiTheme="majorBidi" w:hAnsiTheme="majorBidi" w:cstheme="majorBidi"/>
          <w:b/>
          <w:bCs/>
          <w:sz w:val="24"/>
          <w:szCs w:val="24"/>
        </w:rPr>
        <w:lastRenderedPageBreak/>
        <w:t>Urbanisation: Definition</w:t>
      </w:r>
    </w:p>
    <w:p w14:paraId="4282DC29" w14:textId="1CAF3E14" w:rsidR="0030049B" w:rsidRPr="00300ED4" w:rsidRDefault="0030049B" w:rsidP="00300ED4">
      <w:pPr>
        <w:spacing w:line="360" w:lineRule="auto"/>
        <w:jc w:val="both"/>
        <w:rPr>
          <w:rFonts w:asciiTheme="majorBidi" w:hAnsiTheme="majorBidi" w:cstheme="majorBidi"/>
          <w:sz w:val="24"/>
          <w:szCs w:val="24"/>
        </w:rPr>
      </w:pPr>
      <w:r w:rsidRPr="0030049B">
        <w:rPr>
          <w:rFonts w:asciiTheme="majorBidi" w:hAnsiTheme="majorBidi" w:cstheme="majorBidi"/>
          <w:sz w:val="24"/>
          <w:szCs w:val="24"/>
        </w:rPr>
        <w:t xml:space="preserve">Urbanization refers to the process by which an increasing proportion of a population resides in urban areas, </w:t>
      </w:r>
      <w:r w:rsidRPr="00300ED4">
        <w:rPr>
          <w:rFonts w:asciiTheme="majorBidi" w:hAnsiTheme="majorBidi" w:cstheme="majorBidi"/>
          <w:sz w:val="24"/>
          <w:szCs w:val="24"/>
        </w:rPr>
        <w:t>leading to the growth and expansion of cities and towns. It involves the migration of people from rural to urban areas, as well as natural population growth within cities themselves.</w:t>
      </w:r>
    </w:p>
    <w:p w14:paraId="65AAFB47" w14:textId="1B4F6CB5" w:rsidR="00300ED4" w:rsidRPr="00300ED4" w:rsidRDefault="00300ED4" w:rsidP="00300ED4">
      <w:pPr>
        <w:spacing w:line="360" w:lineRule="auto"/>
        <w:jc w:val="both"/>
        <w:rPr>
          <w:rFonts w:asciiTheme="majorBidi" w:hAnsiTheme="majorBidi" w:cstheme="majorBidi"/>
          <w:sz w:val="24"/>
          <w:szCs w:val="24"/>
        </w:rPr>
      </w:pPr>
      <w:r w:rsidRPr="00300ED4">
        <w:rPr>
          <w:rFonts w:asciiTheme="majorBidi" w:hAnsiTheme="majorBidi" w:cstheme="majorBidi"/>
          <w:color w:val="0D0D0D"/>
          <w:sz w:val="24"/>
          <w:szCs w:val="24"/>
          <w:shd w:val="clear" w:color="auto" w:fill="FFFFFF"/>
        </w:rPr>
        <w:t xml:space="preserve">Algeria is the largest country in Africa with a total size of approximately 2,381,741 square </w:t>
      </w:r>
      <w:r w:rsidRPr="00300ED4">
        <w:rPr>
          <w:rFonts w:asciiTheme="majorBidi" w:hAnsiTheme="majorBidi" w:cstheme="majorBidi"/>
          <w:color w:val="0D0D0D"/>
          <w:sz w:val="24"/>
          <w:szCs w:val="24"/>
          <w:shd w:val="clear" w:color="auto" w:fill="FFFFFF"/>
        </w:rPr>
        <w:t>kilometers, it</w:t>
      </w:r>
      <w:r w:rsidRPr="00300ED4">
        <w:rPr>
          <w:rFonts w:asciiTheme="majorBidi" w:hAnsiTheme="majorBidi" w:cstheme="majorBidi"/>
          <w:sz w:val="24"/>
          <w:szCs w:val="24"/>
        </w:rPr>
        <w:t xml:space="preserve"> </w:t>
      </w:r>
      <w:r w:rsidRPr="00300ED4">
        <w:rPr>
          <w:rFonts w:asciiTheme="majorBidi" w:hAnsiTheme="majorBidi" w:cstheme="majorBidi"/>
          <w:sz w:val="24"/>
          <w:szCs w:val="24"/>
        </w:rPr>
        <w:t xml:space="preserve">is ranked as the 10th largest country in the world and the largest country in Africa. </w:t>
      </w:r>
    </w:p>
    <w:p w14:paraId="5A15184B" w14:textId="61133B87" w:rsidR="00300ED4" w:rsidRDefault="00300ED4" w:rsidP="00300ED4">
      <w:pPr>
        <w:spacing w:line="360" w:lineRule="auto"/>
        <w:jc w:val="both"/>
        <w:rPr>
          <w:rFonts w:asciiTheme="majorBidi" w:hAnsiTheme="majorBidi" w:cstheme="majorBidi"/>
          <w:sz w:val="24"/>
          <w:szCs w:val="24"/>
        </w:rPr>
      </w:pPr>
      <w:r w:rsidRPr="00300ED4">
        <w:rPr>
          <w:rFonts w:asciiTheme="majorBidi" w:hAnsiTheme="majorBidi" w:cstheme="majorBidi"/>
          <w:sz w:val="24"/>
          <w:szCs w:val="24"/>
        </w:rPr>
        <w:t xml:space="preserve">It comprises three major geographical zones: the </w:t>
      </w:r>
      <w:r w:rsidRPr="00300ED4">
        <w:rPr>
          <w:rFonts w:asciiTheme="majorBidi" w:hAnsiTheme="majorBidi" w:cstheme="majorBidi"/>
          <w:b/>
          <w:bCs/>
          <w:sz w:val="24"/>
          <w:szCs w:val="24"/>
        </w:rPr>
        <w:t>coast and the Tell in the North</w:t>
      </w:r>
      <w:r w:rsidRPr="00300ED4">
        <w:rPr>
          <w:rFonts w:asciiTheme="majorBidi" w:hAnsiTheme="majorBidi" w:cstheme="majorBidi"/>
          <w:sz w:val="24"/>
          <w:szCs w:val="24"/>
        </w:rPr>
        <w:t xml:space="preserve">, </w:t>
      </w:r>
      <w:r w:rsidRPr="00300ED4">
        <w:rPr>
          <w:rFonts w:asciiTheme="majorBidi" w:hAnsiTheme="majorBidi" w:cstheme="majorBidi"/>
          <w:b/>
          <w:bCs/>
          <w:sz w:val="24"/>
          <w:szCs w:val="24"/>
        </w:rPr>
        <w:t>the Highlands</w:t>
      </w:r>
      <w:r w:rsidRPr="00300ED4">
        <w:rPr>
          <w:rFonts w:asciiTheme="majorBidi" w:hAnsiTheme="majorBidi" w:cstheme="majorBidi"/>
          <w:sz w:val="24"/>
          <w:szCs w:val="24"/>
        </w:rPr>
        <w:t>, and</w:t>
      </w:r>
      <w:r w:rsidRPr="00300ED4">
        <w:rPr>
          <w:rFonts w:asciiTheme="majorBidi" w:hAnsiTheme="majorBidi" w:cstheme="majorBidi"/>
          <w:b/>
          <w:bCs/>
          <w:sz w:val="24"/>
          <w:szCs w:val="24"/>
        </w:rPr>
        <w:t xml:space="preserve"> the Sahara</w:t>
      </w:r>
      <w:r w:rsidRPr="00300ED4">
        <w:rPr>
          <w:rFonts w:asciiTheme="majorBidi" w:hAnsiTheme="majorBidi" w:cstheme="majorBidi"/>
          <w:sz w:val="24"/>
          <w:szCs w:val="24"/>
        </w:rPr>
        <w:t xml:space="preserve"> in the South. With an average density of around 12 inhabitants/km2 in 1998 and close to 15 inhabitants/km2 in 2008</w:t>
      </w:r>
      <w:r>
        <w:rPr>
          <w:rFonts w:asciiTheme="majorBidi" w:hAnsiTheme="majorBidi" w:cstheme="majorBidi"/>
          <w:sz w:val="24"/>
          <w:szCs w:val="24"/>
        </w:rPr>
        <w:t>.</w:t>
      </w:r>
    </w:p>
    <w:p w14:paraId="3A9B2D1D" w14:textId="4E9129BF" w:rsidR="00300ED4" w:rsidRDefault="00300ED4" w:rsidP="00300ED4">
      <w:pPr>
        <w:spacing w:line="360" w:lineRule="auto"/>
        <w:jc w:val="both"/>
        <w:rPr>
          <w:rFonts w:asciiTheme="majorBidi" w:hAnsiTheme="majorBidi" w:cstheme="majorBidi"/>
          <w:sz w:val="24"/>
          <w:szCs w:val="24"/>
        </w:rPr>
      </w:pPr>
      <w:r w:rsidRPr="00300ED4">
        <w:rPr>
          <w:rFonts w:asciiTheme="majorBidi" w:hAnsiTheme="majorBidi" w:cstheme="majorBidi"/>
          <w:sz w:val="24"/>
          <w:szCs w:val="24"/>
        </w:rPr>
        <w:t xml:space="preserve"> In 2008, the population of the North was estimated to be about 21.5 million, which gives a density of 209 inhabitants/km2. At the same time, about 3.2 million inhabitants and a population density of 1.64 inhabitants/km2 were registered in the South. The Highlands, with 30.75 inhabitants/km2, took an intermediate </w:t>
      </w:r>
      <w:r w:rsidRPr="00300ED4">
        <w:rPr>
          <w:rFonts w:asciiTheme="majorBidi" w:hAnsiTheme="majorBidi" w:cstheme="majorBidi"/>
          <w:sz w:val="24"/>
          <w:szCs w:val="24"/>
        </w:rPr>
        <w:t>position.</w:t>
      </w:r>
    </w:p>
    <w:p w14:paraId="291EF980" w14:textId="03143E00" w:rsidR="007A5A28" w:rsidRDefault="00300ED4" w:rsidP="00300ED4">
      <w:pPr>
        <w:spacing w:line="360" w:lineRule="auto"/>
        <w:jc w:val="both"/>
        <w:rPr>
          <w:rFonts w:asciiTheme="majorBidi" w:hAnsiTheme="majorBidi" w:cstheme="majorBidi"/>
          <w:sz w:val="24"/>
          <w:szCs w:val="24"/>
        </w:rPr>
      </w:pPr>
      <w:r w:rsidRPr="00300ED4">
        <w:rPr>
          <w:rFonts w:asciiTheme="majorBidi" w:hAnsiTheme="majorBidi" w:cstheme="majorBidi"/>
          <w:sz w:val="24"/>
          <w:szCs w:val="24"/>
        </w:rPr>
        <w:t>This unequal population distribution is even more emphasized at the level of provinces or municipalities. Nearly 70% of the population lives in metropoles and large cities. Population densities in large cities are higher, particularly due to industrial activities.</w:t>
      </w:r>
    </w:p>
    <w:p w14:paraId="0CFAC7B7" w14:textId="77777777" w:rsidR="00FE75C3" w:rsidRDefault="00300ED4" w:rsidP="00300ED4">
      <w:pPr>
        <w:spacing w:line="360" w:lineRule="auto"/>
        <w:jc w:val="both"/>
        <w:rPr>
          <w:rFonts w:asciiTheme="majorBidi" w:hAnsiTheme="majorBidi" w:cstheme="majorBidi"/>
          <w:color w:val="222222"/>
          <w:sz w:val="24"/>
          <w:szCs w:val="24"/>
          <w:shd w:val="clear" w:color="auto" w:fill="FFFFFF"/>
        </w:rPr>
      </w:pPr>
      <w:r w:rsidRPr="00300ED4">
        <w:rPr>
          <w:rFonts w:asciiTheme="majorBidi" w:hAnsiTheme="majorBidi" w:cstheme="majorBidi"/>
          <w:color w:val="222222"/>
          <w:sz w:val="24"/>
          <w:szCs w:val="24"/>
          <w:shd w:val="clear" w:color="auto" w:fill="FFFFFF"/>
        </w:rPr>
        <w:t xml:space="preserve">However, how is “urban” defined in Algeria? </w:t>
      </w:r>
    </w:p>
    <w:p w14:paraId="3D667CB6" w14:textId="77777777" w:rsidR="00FE75C3" w:rsidRDefault="00300ED4" w:rsidP="00300ED4">
      <w:pPr>
        <w:spacing w:line="360" w:lineRule="auto"/>
        <w:jc w:val="both"/>
        <w:rPr>
          <w:rFonts w:asciiTheme="majorBidi" w:hAnsiTheme="majorBidi" w:cstheme="majorBidi"/>
          <w:color w:val="222222"/>
          <w:sz w:val="24"/>
          <w:szCs w:val="24"/>
          <w:shd w:val="clear" w:color="auto" w:fill="FFFFFF"/>
        </w:rPr>
      </w:pPr>
      <w:r w:rsidRPr="00300ED4">
        <w:rPr>
          <w:rFonts w:asciiTheme="majorBidi" w:hAnsiTheme="majorBidi" w:cstheme="majorBidi"/>
          <w:color w:val="222222"/>
          <w:sz w:val="24"/>
          <w:szCs w:val="24"/>
          <w:shd w:val="clear" w:color="auto" w:fill="FFFFFF"/>
        </w:rPr>
        <w:t xml:space="preserve">According to Act 06-06 (2006), a </w:t>
      </w:r>
      <w:r w:rsidRPr="00FE75C3">
        <w:rPr>
          <w:rFonts w:asciiTheme="majorBidi" w:hAnsiTheme="majorBidi" w:cstheme="majorBidi"/>
          <w:b/>
          <w:bCs/>
          <w:color w:val="222222"/>
          <w:sz w:val="24"/>
          <w:szCs w:val="24"/>
          <w:shd w:val="clear" w:color="auto" w:fill="FFFFFF"/>
        </w:rPr>
        <w:t>concentration</w:t>
      </w:r>
      <w:r w:rsidRPr="00300ED4">
        <w:rPr>
          <w:rFonts w:asciiTheme="majorBidi" w:hAnsiTheme="majorBidi" w:cstheme="majorBidi"/>
          <w:color w:val="222222"/>
          <w:sz w:val="24"/>
          <w:szCs w:val="24"/>
          <w:shd w:val="clear" w:color="auto" w:fill="FFFFFF"/>
        </w:rPr>
        <w:t xml:space="preserve"> is defined as urban if it has an agglomerated population of at least 5000 inhabitants. </w:t>
      </w:r>
    </w:p>
    <w:p w14:paraId="4CDB9049" w14:textId="77777777" w:rsidR="00FE75C3" w:rsidRDefault="00300ED4" w:rsidP="00300ED4">
      <w:pPr>
        <w:spacing w:line="360" w:lineRule="auto"/>
        <w:jc w:val="both"/>
        <w:rPr>
          <w:rFonts w:asciiTheme="majorBidi" w:hAnsiTheme="majorBidi" w:cstheme="majorBidi"/>
          <w:color w:val="222222"/>
          <w:sz w:val="24"/>
          <w:szCs w:val="24"/>
          <w:shd w:val="clear" w:color="auto" w:fill="FFFFFF"/>
        </w:rPr>
      </w:pPr>
      <w:r w:rsidRPr="00300ED4">
        <w:rPr>
          <w:rFonts w:asciiTheme="majorBidi" w:hAnsiTheme="majorBidi" w:cstheme="majorBidi"/>
          <w:color w:val="222222"/>
          <w:sz w:val="24"/>
          <w:szCs w:val="24"/>
          <w:shd w:val="clear" w:color="auto" w:fill="FFFFFF"/>
        </w:rPr>
        <w:t xml:space="preserve">According to article number 4 of the above act, any urban concentration with a minimum population and administrative, economic, social, and cultural functions can be considered a “city.” </w:t>
      </w:r>
    </w:p>
    <w:p w14:paraId="5AD11FB7" w14:textId="77777777" w:rsidR="00FE75C3" w:rsidRDefault="00300ED4" w:rsidP="00300ED4">
      <w:pPr>
        <w:spacing w:line="360" w:lineRule="auto"/>
        <w:jc w:val="both"/>
        <w:rPr>
          <w:rFonts w:asciiTheme="majorBidi" w:hAnsiTheme="majorBidi" w:cstheme="majorBidi"/>
          <w:color w:val="222222"/>
          <w:sz w:val="24"/>
          <w:szCs w:val="24"/>
          <w:shd w:val="clear" w:color="auto" w:fill="FFFFFF"/>
        </w:rPr>
      </w:pPr>
      <w:r w:rsidRPr="00300ED4">
        <w:rPr>
          <w:rFonts w:asciiTheme="majorBidi" w:hAnsiTheme="majorBidi" w:cstheme="majorBidi"/>
          <w:color w:val="222222"/>
          <w:sz w:val="24"/>
          <w:szCs w:val="24"/>
          <w:shd w:val="clear" w:color="auto" w:fill="FFFFFF"/>
        </w:rPr>
        <w:t xml:space="preserve">Act 01-20 (2001) links the definition of urban settlements with regional planning and sustainability. In doing so, the act introduces a range of conceptual definitions, including </w:t>
      </w:r>
      <w:r w:rsidRPr="00FE75C3">
        <w:rPr>
          <w:rFonts w:asciiTheme="majorBidi" w:hAnsiTheme="majorBidi" w:cstheme="majorBidi"/>
          <w:b/>
          <w:bCs/>
          <w:color w:val="222222"/>
          <w:sz w:val="24"/>
          <w:szCs w:val="24"/>
          <w:shd w:val="clear" w:color="auto" w:fill="FFFFFF"/>
        </w:rPr>
        <w:t>metropole</w:t>
      </w:r>
      <w:r w:rsidRPr="00300ED4">
        <w:rPr>
          <w:rFonts w:asciiTheme="majorBidi" w:hAnsiTheme="majorBidi" w:cstheme="majorBidi"/>
          <w:color w:val="222222"/>
          <w:sz w:val="24"/>
          <w:szCs w:val="24"/>
          <w:shd w:val="clear" w:color="auto" w:fill="FFFFFF"/>
        </w:rPr>
        <w:t xml:space="preserve">, </w:t>
      </w:r>
      <w:r w:rsidRPr="00FE75C3">
        <w:rPr>
          <w:rFonts w:asciiTheme="majorBidi" w:hAnsiTheme="majorBidi" w:cstheme="majorBidi"/>
          <w:b/>
          <w:bCs/>
          <w:color w:val="222222"/>
          <w:sz w:val="24"/>
          <w:szCs w:val="24"/>
          <w:shd w:val="clear" w:color="auto" w:fill="FFFFFF"/>
        </w:rPr>
        <w:t xml:space="preserve">metropolitan </w:t>
      </w:r>
      <w:proofErr w:type="gramStart"/>
      <w:r w:rsidRPr="00FE75C3">
        <w:rPr>
          <w:rFonts w:asciiTheme="majorBidi" w:hAnsiTheme="majorBidi" w:cstheme="majorBidi"/>
          <w:b/>
          <w:bCs/>
          <w:color w:val="222222"/>
          <w:sz w:val="24"/>
          <w:szCs w:val="24"/>
          <w:shd w:val="clear" w:color="auto" w:fill="FFFFFF"/>
        </w:rPr>
        <w:t>area</w:t>
      </w:r>
      <w:proofErr w:type="gramEnd"/>
      <w:r w:rsidRPr="00300ED4">
        <w:rPr>
          <w:rFonts w:asciiTheme="majorBidi" w:hAnsiTheme="majorBidi" w:cstheme="majorBidi"/>
          <w:color w:val="222222"/>
          <w:sz w:val="24"/>
          <w:szCs w:val="24"/>
          <w:shd w:val="clear" w:color="auto" w:fill="FFFFFF"/>
        </w:rPr>
        <w:t xml:space="preserve">, </w:t>
      </w:r>
      <w:r w:rsidRPr="00FE75C3">
        <w:rPr>
          <w:rFonts w:asciiTheme="majorBidi" w:hAnsiTheme="majorBidi" w:cstheme="majorBidi"/>
          <w:b/>
          <w:bCs/>
          <w:color w:val="222222"/>
          <w:sz w:val="24"/>
          <w:szCs w:val="24"/>
          <w:shd w:val="clear" w:color="auto" w:fill="FFFFFF"/>
        </w:rPr>
        <w:t>big city</w:t>
      </w:r>
      <w:r w:rsidRPr="00300ED4">
        <w:rPr>
          <w:rFonts w:asciiTheme="majorBidi" w:hAnsiTheme="majorBidi" w:cstheme="majorBidi"/>
          <w:color w:val="222222"/>
          <w:sz w:val="24"/>
          <w:szCs w:val="24"/>
          <w:shd w:val="clear" w:color="auto" w:fill="FFFFFF"/>
        </w:rPr>
        <w:t xml:space="preserve">, </w:t>
      </w:r>
      <w:r w:rsidRPr="00FE75C3">
        <w:rPr>
          <w:rFonts w:asciiTheme="majorBidi" w:hAnsiTheme="majorBidi" w:cstheme="majorBidi"/>
          <w:b/>
          <w:bCs/>
          <w:color w:val="222222"/>
          <w:sz w:val="24"/>
          <w:szCs w:val="24"/>
          <w:shd w:val="clear" w:color="auto" w:fill="FFFFFF"/>
        </w:rPr>
        <w:t>new city</w:t>
      </w:r>
      <w:r w:rsidRPr="00300ED4">
        <w:rPr>
          <w:rFonts w:asciiTheme="majorBidi" w:hAnsiTheme="majorBidi" w:cstheme="majorBidi"/>
          <w:color w:val="222222"/>
          <w:sz w:val="24"/>
          <w:szCs w:val="24"/>
          <w:shd w:val="clear" w:color="auto" w:fill="FFFFFF"/>
        </w:rPr>
        <w:t xml:space="preserve">, and </w:t>
      </w:r>
      <w:r w:rsidRPr="00FE75C3">
        <w:rPr>
          <w:rFonts w:asciiTheme="majorBidi" w:hAnsiTheme="majorBidi" w:cstheme="majorBidi"/>
          <w:b/>
          <w:bCs/>
          <w:color w:val="222222"/>
          <w:sz w:val="24"/>
          <w:szCs w:val="24"/>
          <w:shd w:val="clear" w:color="auto" w:fill="FFFFFF"/>
        </w:rPr>
        <w:t>sensitive urban zone</w:t>
      </w:r>
      <w:r w:rsidRPr="00300ED4">
        <w:rPr>
          <w:rFonts w:asciiTheme="majorBidi" w:hAnsiTheme="majorBidi" w:cstheme="majorBidi"/>
          <w:color w:val="222222"/>
          <w:sz w:val="24"/>
          <w:szCs w:val="24"/>
          <w:shd w:val="clear" w:color="auto" w:fill="FFFFFF"/>
        </w:rPr>
        <w:t xml:space="preserve">. </w:t>
      </w:r>
    </w:p>
    <w:p w14:paraId="24566CC8" w14:textId="2472E035" w:rsidR="007A5A28" w:rsidRDefault="00300ED4" w:rsidP="00300ED4">
      <w:pPr>
        <w:spacing w:line="360" w:lineRule="auto"/>
        <w:jc w:val="both"/>
        <w:rPr>
          <w:rFonts w:asciiTheme="majorBidi" w:hAnsiTheme="majorBidi" w:cstheme="majorBidi"/>
          <w:color w:val="222222"/>
          <w:sz w:val="24"/>
          <w:szCs w:val="24"/>
          <w:shd w:val="clear" w:color="auto" w:fill="FFFFFF"/>
        </w:rPr>
      </w:pPr>
      <w:r w:rsidRPr="00300ED4">
        <w:rPr>
          <w:rFonts w:asciiTheme="majorBidi" w:hAnsiTheme="majorBidi" w:cstheme="majorBidi"/>
          <w:color w:val="222222"/>
          <w:sz w:val="24"/>
          <w:szCs w:val="24"/>
          <w:shd w:val="clear" w:color="auto" w:fill="FFFFFF"/>
        </w:rPr>
        <w:t xml:space="preserve">On the other hand, Act 06-06 (2006) defines the concepts of a medium-sized city, small town, and urban </w:t>
      </w:r>
      <w:r w:rsidR="00FE75C3">
        <w:rPr>
          <w:rFonts w:asciiTheme="majorBidi" w:hAnsiTheme="majorBidi" w:cstheme="majorBidi"/>
          <w:color w:val="222222"/>
          <w:sz w:val="24"/>
          <w:szCs w:val="24"/>
          <w:shd w:val="clear" w:color="auto" w:fill="FFFFFF"/>
        </w:rPr>
        <w:t xml:space="preserve">concentration </w:t>
      </w:r>
      <w:r w:rsidRPr="00300ED4">
        <w:rPr>
          <w:rFonts w:asciiTheme="majorBidi" w:hAnsiTheme="majorBidi" w:cstheme="majorBidi"/>
          <w:color w:val="222222"/>
          <w:sz w:val="24"/>
          <w:szCs w:val="24"/>
          <w:shd w:val="clear" w:color="auto" w:fill="FFFFFF"/>
        </w:rPr>
        <w:t xml:space="preserve">and indicates in article number 5 that cities can also be classified based on their functions and influence on the local, regional, </w:t>
      </w:r>
      <w:proofErr w:type="gramStart"/>
      <w:r w:rsidRPr="00300ED4">
        <w:rPr>
          <w:rFonts w:asciiTheme="majorBidi" w:hAnsiTheme="majorBidi" w:cstheme="majorBidi"/>
          <w:color w:val="222222"/>
          <w:sz w:val="24"/>
          <w:szCs w:val="24"/>
          <w:shd w:val="clear" w:color="auto" w:fill="FFFFFF"/>
        </w:rPr>
        <w:t>national</w:t>
      </w:r>
      <w:proofErr w:type="gramEnd"/>
      <w:r w:rsidRPr="00300ED4">
        <w:rPr>
          <w:rFonts w:asciiTheme="majorBidi" w:hAnsiTheme="majorBidi" w:cstheme="majorBidi"/>
          <w:color w:val="222222"/>
          <w:sz w:val="24"/>
          <w:szCs w:val="24"/>
          <w:shd w:val="clear" w:color="auto" w:fill="FFFFFF"/>
        </w:rPr>
        <w:t xml:space="preserve"> and international level, as well as on their historical, cultural and architectural heritage.</w:t>
      </w:r>
    </w:p>
    <w:p w14:paraId="4248EDC1" w14:textId="77777777" w:rsidR="00FE75C3" w:rsidRPr="00FE75C3" w:rsidRDefault="00FE75C3" w:rsidP="00FE75C3">
      <w:pPr>
        <w:spacing w:after="0" w:line="240" w:lineRule="auto"/>
        <w:jc w:val="both"/>
        <w:rPr>
          <w:rFonts w:ascii="Arial" w:eastAsia="Times New Roman" w:hAnsi="Arial" w:cs="Arial"/>
          <w:color w:val="222222"/>
          <w:kern w:val="0"/>
          <w:sz w:val="20"/>
          <w:szCs w:val="20"/>
          <w14:ligatures w14:val="none"/>
        </w:rPr>
      </w:pPr>
      <w:r w:rsidRPr="00FE75C3">
        <w:rPr>
          <w:rFonts w:ascii="Arial" w:eastAsia="Times New Roman" w:hAnsi="Arial" w:cs="Arial"/>
          <w:color w:val="222222"/>
          <w:kern w:val="0"/>
          <w:sz w:val="20"/>
          <w:szCs w:val="20"/>
          <w14:ligatures w14:val="none"/>
        </w:rPr>
        <w:t>Classification of urban settlements according to Acts 01-20 (2001) and 06-06 (2006) (</w:t>
      </w:r>
      <w:hyperlink r:id="rId6" w:anchor="B36-socsci-12-00174" w:history="1">
        <w:r w:rsidRPr="00FE75C3">
          <w:rPr>
            <w:rFonts w:ascii="Arial" w:eastAsia="Times New Roman" w:hAnsi="Arial" w:cs="Arial"/>
            <w:b/>
            <w:bCs/>
            <w:i/>
            <w:iCs/>
            <w:color w:val="4F5671"/>
            <w:kern w:val="0"/>
            <w:sz w:val="20"/>
            <w:szCs w:val="20"/>
            <w14:ligatures w14:val="none"/>
          </w:rPr>
          <w:t xml:space="preserve">Loi n° 01-20 du 12 </w:t>
        </w:r>
        <w:proofErr w:type="spellStart"/>
        <w:r w:rsidRPr="00FE75C3">
          <w:rPr>
            <w:rFonts w:ascii="Arial" w:eastAsia="Times New Roman" w:hAnsi="Arial" w:cs="Arial"/>
            <w:b/>
            <w:bCs/>
            <w:i/>
            <w:iCs/>
            <w:color w:val="4F5671"/>
            <w:kern w:val="0"/>
            <w:sz w:val="20"/>
            <w:szCs w:val="20"/>
            <w14:ligatures w14:val="none"/>
          </w:rPr>
          <w:t>décembre</w:t>
        </w:r>
        <w:proofErr w:type="spellEnd"/>
        <w:r w:rsidRPr="00FE75C3">
          <w:rPr>
            <w:rFonts w:ascii="Arial" w:eastAsia="Times New Roman" w:hAnsi="Arial" w:cs="Arial"/>
            <w:b/>
            <w:bCs/>
            <w:i/>
            <w:iCs/>
            <w:color w:val="4F5671"/>
            <w:kern w:val="0"/>
            <w:sz w:val="20"/>
            <w:szCs w:val="20"/>
            <w14:ligatures w14:val="none"/>
          </w:rPr>
          <w:t xml:space="preserve"> 2001 relative à </w:t>
        </w:r>
        <w:proofErr w:type="spellStart"/>
        <w:r w:rsidRPr="00FE75C3">
          <w:rPr>
            <w:rFonts w:ascii="Arial" w:eastAsia="Times New Roman" w:hAnsi="Arial" w:cs="Arial"/>
            <w:b/>
            <w:bCs/>
            <w:i/>
            <w:iCs/>
            <w:color w:val="4F5671"/>
            <w:kern w:val="0"/>
            <w:sz w:val="20"/>
            <w:szCs w:val="20"/>
            <w14:ligatures w14:val="none"/>
          </w:rPr>
          <w:t>l’aménagement</w:t>
        </w:r>
        <w:proofErr w:type="spellEnd"/>
        <w:r w:rsidRPr="00FE75C3">
          <w:rPr>
            <w:rFonts w:ascii="Arial" w:eastAsia="Times New Roman" w:hAnsi="Arial" w:cs="Arial"/>
            <w:b/>
            <w:bCs/>
            <w:i/>
            <w:iCs/>
            <w:color w:val="4F5671"/>
            <w:kern w:val="0"/>
            <w:sz w:val="20"/>
            <w:szCs w:val="20"/>
            <w14:ligatures w14:val="none"/>
          </w:rPr>
          <w:t xml:space="preserve"> et au </w:t>
        </w:r>
        <w:proofErr w:type="spellStart"/>
        <w:r w:rsidRPr="00FE75C3">
          <w:rPr>
            <w:rFonts w:ascii="Arial" w:eastAsia="Times New Roman" w:hAnsi="Arial" w:cs="Arial"/>
            <w:b/>
            <w:bCs/>
            <w:i/>
            <w:iCs/>
            <w:color w:val="4F5671"/>
            <w:kern w:val="0"/>
            <w:sz w:val="20"/>
            <w:szCs w:val="20"/>
            <w14:ligatures w14:val="none"/>
          </w:rPr>
          <w:t>développement</w:t>
        </w:r>
        <w:proofErr w:type="spellEnd"/>
        <w:r w:rsidRPr="00FE75C3">
          <w:rPr>
            <w:rFonts w:ascii="Arial" w:eastAsia="Times New Roman" w:hAnsi="Arial" w:cs="Arial"/>
            <w:b/>
            <w:bCs/>
            <w:i/>
            <w:iCs/>
            <w:color w:val="4F5671"/>
            <w:kern w:val="0"/>
            <w:sz w:val="20"/>
            <w:szCs w:val="20"/>
            <w14:ligatures w14:val="none"/>
          </w:rPr>
          <w:t xml:space="preserve"> durable du </w:t>
        </w:r>
        <w:proofErr w:type="spellStart"/>
        <w:r w:rsidRPr="00FE75C3">
          <w:rPr>
            <w:rFonts w:ascii="Arial" w:eastAsia="Times New Roman" w:hAnsi="Arial" w:cs="Arial"/>
            <w:b/>
            <w:bCs/>
            <w:i/>
            <w:iCs/>
            <w:color w:val="4F5671"/>
            <w:kern w:val="0"/>
            <w:sz w:val="20"/>
            <w:szCs w:val="20"/>
            <w14:ligatures w14:val="none"/>
          </w:rPr>
          <w:t>territoire</w:t>
        </w:r>
        <w:proofErr w:type="spellEnd"/>
        <w:r w:rsidRPr="00FE75C3">
          <w:rPr>
            <w:rFonts w:ascii="Arial" w:eastAsia="Times New Roman" w:hAnsi="Arial" w:cs="Arial"/>
            <w:b/>
            <w:bCs/>
            <w:color w:val="4F5671"/>
            <w:kern w:val="0"/>
            <w:sz w:val="20"/>
            <w:szCs w:val="20"/>
            <w:u w:val="single"/>
            <w14:ligatures w14:val="none"/>
          </w:rPr>
          <w:t> 2001</w:t>
        </w:r>
      </w:hyperlink>
      <w:r w:rsidRPr="00FE75C3">
        <w:rPr>
          <w:rFonts w:ascii="Arial" w:eastAsia="Times New Roman" w:hAnsi="Arial" w:cs="Arial"/>
          <w:color w:val="222222"/>
          <w:kern w:val="0"/>
          <w:sz w:val="20"/>
          <w:szCs w:val="20"/>
          <w14:ligatures w14:val="none"/>
        </w:rPr>
        <w:t>; </w:t>
      </w:r>
      <w:hyperlink r:id="rId7" w:anchor="B37-socsci-12-00174" w:history="1">
        <w:r w:rsidRPr="00FE75C3">
          <w:rPr>
            <w:rFonts w:ascii="Arial" w:eastAsia="Times New Roman" w:hAnsi="Arial" w:cs="Arial"/>
            <w:b/>
            <w:bCs/>
            <w:i/>
            <w:iCs/>
            <w:color w:val="4F5671"/>
            <w:kern w:val="0"/>
            <w:sz w:val="20"/>
            <w:szCs w:val="20"/>
            <w14:ligatures w14:val="none"/>
          </w:rPr>
          <w:t xml:space="preserve">Loi n°06-06 du 20 </w:t>
        </w:r>
        <w:proofErr w:type="spellStart"/>
        <w:r w:rsidRPr="00FE75C3">
          <w:rPr>
            <w:rFonts w:ascii="Arial" w:eastAsia="Times New Roman" w:hAnsi="Arial" w:cs="Arial"/>
            <w:b/>
            <w:bCs/>
            <w:i/>
            <w:iCs/>
            <w:color w:val="4F5671"/>
            <w:kern w:val="0"/>
            <w:sz w:val="20"/>
            <w:szCs w:val="20"/>
            <w14:ligatures w14:val="none"/>
          </w:rPr>
          <w:t>février</w:t>
        </w:r>
        <w:proofErr w:type="spellEnd"/>
        <w:r w:rsidRPr="00FE75C3">
          <w:rPr>
            <w:rFonts w:ascii="Arial" w:eastAsia="Times New Roman" w:hAnsi="Arial" w:cs="Arial"/>
            <w:b/>
            <w:bCs/>
            <w:i/>
            <w:iCs/>
            <w:color w:val="4F5671"/>
            <w:kern w:val="0"/>
            <w:sz w:val="20"/>
            <w:szCs w:val="20"/>
            <w14:ligatures w14:val="none"/>
          </w:rPr>
          <w:t xml:space="preserve"> 2006 </w:t>
        </w:r>
        <w:proofErr w:type="spellStart"/>
        <w:r w:rsidRPr="00FE75C3">
          <w:rPr>
            <w:rFonts w:ascii="Arial" w:eastAsia="Times New Roman" w:hAnsi="Arial" w:cs="Arial"/>
            <w:b/>
            <w:bCs/>
            <w:i/>
            <w:iCs/>
            <w:color w:val="4F5671"/>
            <w:kern w:val="0"/>
            <w:sz w:val="20"/>
            <w:szCs w:val="20"/>
            <w14:ligatures w14:val="none"/>
          </w:rPr>
          <w:t>portant</w:t>
        </w:r>
        <w:proofErr w:type="spellEnd"/>
        <w:r w:rsidRPr="00FE75C3">
          <w:rPr>
            <w:rFonts w:ascii="Arial" w:eastAsia="Times New Roman" w:hAnsi="Arial" w:cs="Arial"/>
            <w:b/>
            <w:bCs/>
            <w:i/>
            <w:iCs/>
            <w:color w:val="4F5671"/>
            <w:kern w:val="0"/>
            <w:sz w:val="20"/>
            <w:szCs w:val="20"/>
            <w14:ligatures w14:val="none"/>
          </w:rPr>
          <w:t xml:space="preserve"> </w:t>
        </w:r>
        <w:proofErr w:type="spellStart"/>
        <w:r w:rsidRPr="00FE75C3">
          <w:rPr>
            <w:rFonts w:ascii="Arial" w:eastAsia="Times New Roman" w:hAnsi="Arial" w:cs="Arial"/>
            <w:b/>
            <w:bCs/>
            <w:i/>
            <w:iCs/>
            <w:color w:val="4F5671"/>
            <w:kern w:val="0"/>
            <w:sz w:val="20"/>
            <w:szCs w:val="20"/>
            <w14:ligatures w14:val="none"/>
          </w:rPr>
          <w:t>loi</w:t>
        </w:r>
        <w:proofErr w:type="spellEnd"/>
        <w:r w:rsidRPr="00FE75C3">
          <w:rPr>
            <w:rFonts w:ascii="Arial" w:eastAsia="Times New Roman" w:hAnsi="Arial" w:cs="Arial"/>
            <w:b/>
            <w:bCs/>
            <w:i/>
            <w:iCs/>
            <w:color w:val="4F5671"/>
            <w:kern w:val="0"/>
            <w:sz w:val="20"/>
            <w:szCs w:val="20"/>
            <w14:ligatures w14:val="none"/>
          </w:rPr>
          <w:t xml:space="preserve"> </w:t>
        </w:r>
        <w:proofErr w:type="spellStart"/>
        <w:r w:rsidRPr="00FE75C3">
          <w:rPr>
            <w:rFonts w:ascii="Arial" w:eastAsia="Times New Roman" w:hAnsi="Arial" w:cs="Arial"/>
            <w:b/>
            <w:bCs/>
            <w:i/>
            <w:iCs/>
            <w:color w:val="4F5671"/>
            <w:kern w:val="0"/>
            <w:sz w:val="20"/>
            <w:szCs w:val="20"/>
            <w14:ligatures w14:val="none"/>
          </w:rPr>
          <w:t>d’orientation</w:t>
        </w:r>
        <w:proofErr w:type="spellEnd"/>
        <w:r w:rsidRPr="00FE75C3">
          <w:rPr>
            <w:rFonts w:ascii="Arial" w:eastAsia="Times New Roman" w:hAnsi="Arial" w:cs="Arial"/>
            <w:b/>
            <w:bCs/>
            <w:i/>
            <w:iCs/>
            <w:color w:val="4F5671"/>
            <w:kern w:val="0"/>
            <w:sz w:val="20"/>
            <w:szCs w:val="20"/>
            <w14:ligatures w14:val="none"/>
          </w:rPr>
          <w:t xml:space="preserve"> de la </w:t>
        </w:r>
        <w:proofErr w:type="spellStart"/>
        <w:r w:rsidRPr="00FE75C3">
          <w:rPr>
            <w:rFonts w:ascii="Arial" w:eastAsia="Times New Roman" w:hAnsi="Arial" w:cs="Arial"/>
            <w:b/>
            <w:bCs/>
            <w:i/>
            <w:iCs/>
            <w:color w:val="4F5671"/>
            <w:kern w:val="0"/>
            <w:sz w:val="20"/>
            <w:szCs w:val="20"/>
            <w14:ligatures w14:val="none"/>
          </w:rPr>
          <w:t>ville</w:t>
        </w:r>
        <w:proofErr w:type="spellEnd"/>
        <w:r w:rsidRPr="00FE75C3">
          <w:rPr>
            <w:rFonts w:ascii="Arial" w:eastAsia="Times New Roman" w:hAnsi="Arial" w:cs="Arial"/>
            <w:b/>
            <w:bCs/>
            <w:color w:val="4F5671"/>
            <w:kern w:val="0"/>
            <w:sz w:val="20"/>
            <w:szCs w:val="20"/>
            <w:u w:val="single"/>
            <w14:ligatures w14:val="none"/>
          </w:rPr>
          <w:t> 2006</w:t>
        </w:r>
      </w:hyperlink>
      <w:r w:rsidRPr="00FE75C3">
        <w:rPr>
          <w:rFonts w:ascii="Arial" w:eastAsia="Times New Roman" w:hAnsi="Arial" w:cs="Arial"/>
          <w:color w:val="222222"/>
          <w:kern w:val="0"/>
          <w:sz w:val="20"/>
          <w:szCs w:val="20"/>
          <w14:ligatures w14:val="none"/>
        </w:rPr>
        <w:t>).</w:t>
      </w:r>
    </w:p>
    <w:tbl>
      <w:tblPr>
        <w:tblW w:w="0" w:type="dxa"/>
        <w:tblCellSpacing w:w="15" w:type="dxa"/>
        <w:tblBorders>
          <w:top w:val="single" w:sz="2" w:space="0" w:color="DDDDDD"/>
          <w:left w:val="single" w:sz="2" w:space="0" w:color="DDDDDD"/>
          <w:bottom w:val="single" w:sz="2" w:space="0" w:color="DDDDDD"/>
          <w:right w:val="single" w:sz="2"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864"/>
        <w:gridCol w:w="1578"/>
        <w:gridCol w:w="8352"/>
      </w:tblGrid>
      <w:tr w:rsidR="00FE75C3" w:rsidRPr="00FE75C3" w14:paraId="31BD0E25" w14:textId="77777777" w:rsidTr="00FE75C3">
        <w:trPr>
          <w:tblHeader/>
          <w:tblCellSpacing w:w="15" w:type="dxa"/>
        </w:trPr>
        <w:tc>
          <w:tcPr>
            <w:tcW w:w="0" w:type="auto"/>
            <w:tcBorders>
              <w:top w:val="single" w:sz="6" w:space="0" w:color="auto"/>
              <w:bottom w:val="single" w:sz="6" w:space="0" w:color="auto"/>
            </w:tcBorders>
            <w:shd w:val="clear" w:color="auto" w:fill="FFFFFF"/>
            <w:tcMar>
              <w:top w:w="150" w:type="dxa"/>
              <w:left w:w="105" w:type="dxa"/>
              <w:bottom w:w="75" w:type="dxa"/>
              <w:right w:w="105" w:type="dxa"/>
            </w:tcMar>
            <w:vAlign w:val="center"/>
            <w:hideMark/>
          </w:tcPr>
          <w:p w14:paraId="02D5D36B" w14:textId="77777777" w:rsidR="00FE75C3" w:rsidRPr="00FE75C3" w:rsidRDefault="00FE75C3" w:rsidP="00FE75C3">
            <w:pPr>
              <w:spacing w:after="0" w:line="240" w:lineRule="auto"/>
              <w:jc w:val="center"/>
              <w:rPr>
                <w:rFonts w:ascii="Arial" w:eastAsia="Times New Roman" w:hAnsi="Arial" w:cs="Arial"/>
                <w:b/>
                <w:bCs/>
                <w:color w:val="222222"/>
                <w:kern w:val="0"/>
                <w:sz w:val="18"/>
                <w:szCs w:val="18"/>
                <w14:ligatures w14:val="none"/>
              </w:rPr>
            </w:pPr>
            <w:r w:rsidRPr="00FE75C3">
              <w:rPr>
                <w:rFonts w:ascii="Arial" w:eastAsia="Times New Roman" w:hAnsi="Arial" w:cs="Arial"/>
                <w:b/>
                <w:bCs/>
                <w:color w:val="222222"/>
                <w:kern w:val="0"/>
                <w:sz w:val="18"/>
                <w:szCs w:val="18"/>
                <w14:ligatures w14:val="none"/>
              </w:rPr>
              <w:lastRenderedPageBreak/>
              <w:t>Law</w:t>
            </w:r>
          </w:p>
        </w:tc>
        <w:tc>
          <w:tcPr>
            <w:tcW w:w="0" w:type="auto"/>
            <w:tcBorders>
              <w:top w:val="single" w:sz="6" w:space="0" w:color="auto"/>
              <w:bottom w:val="single" w:sz="6" w:space="0" w:color="auto"/>
            </w:tcBorders>
            <w:shd w:val="clear" w:color="auto" w:fill="FFFFFF"/>
            <w:tcMar>
              <w:top w:w="150" w:type="dxa"/>
              <w:left w:w="105" w:type="dxa"/>
              <w:bottom w:w="75" w:type="dxa"/>
              <w:right w:w="105" w:type="dxa"/>
            </w:tcMar>
            <w:vAlign w:val="center"/>
            <w:hideMark/>
          </w:tcPr>
          <w:p w14:paraId="601C5C3A" w14:textId="77777777" w:rsidR="00FE75C3" w:rsidRPr="00FE75C3" w:rsidRDefault="00FE75C3" w:rsidP="00FE75C3">
            <w:pPr>
              <w:spacing w:after="0" w:line="240" w:lineRule="auto"/>
              <w:jc w:val="center"/>
              <w:rPr>
                <w:rFonts w:ascii="Arial" w:eastAsia="Times New Roman" w:hAnsi="Arial" w:cs="Arial"/>
                <w:b/>
                <w:bCs/>
                <w:color w:val="222222"/>
                <w:kern w:val="0"/>
                <w:sz w:val="18"/>
                <w:szCs w:val="18"/>
                <w14:ligatures w14:val="none"/>
              </w:rPr>
            </w:pPr>
            <w:r w:rsidRPr="00FE75C3">
              <w:rPr>
                <w:rFonts w:ascii="Arial" w:eastAsia="Times New Roman" w:hAnsi="Arial" w:cs="Arial"/>
                <w:b/>
                <w:bCs/>
                <w:color w:val="222222"/>
                <w:kern w:val="0"/>
                <w:sz w:val="18"/>
                <w:szCs w:val="18"/>
                <w14:ligatures w14:val="none"/>
              </w:rPr>
              <w:t>Typology</w:t>
            </w:r>
          </w:p>
        </w:tc>
        <w:tc>
          <w:tcPr>
            <w:tcW w:w="0" w:type="auto"/>
            <w:tcBorders>
              <w:top w:val="single" w:sz="6" w:space="0" w:color="auto"/>
              <w:bottom w:val="single" w:sz="6" w:space="0" w:color="auto"/>
            </w:tcBorders>
            <w:shd w:val="clear" w:color="auto" w:fill="FFFFFF"/>
            <w:tcMar>
              <w:top w:w="150" w:type="dxa"/>
              <w:left w:w="105" w:type="dxa"/>
              <w:bottom w:w="75" w:type="dxa"/>
              <w:right w:w="105" w:type="dxa"/>
            </w:tcMar>
            <w:vAlign w:val="center"/>
            <w:hideMark/>
          </w:tcPr>
          <w:p w14:paraId="3B0B0B4B" w14:textId="77777777" w:rsidR="00FE75C3" w:rsidRPr="00FE75C3" w:rsidRDefault="00FE75C3" w:rsidP="00FE75C3">
            <w:pPr>
              <w:spacing w:after="0" w:line="240" w:lineRule="auto"/>
              <w:jc w:val="center"/>
              <w:rPr>
                <w:rFonts w:ascii="Arial" w:eastAsia="Times New Roman" w:hAnsi="Arial" w:cs="Arial"/>
                <w:b/>
                <w:bCs/>
                <w:color w:val="222222"/>
                <w:kern w:val="0"/>
                <w:sz w:val="18"/>
                <w:szCs w:val="18"/>
                <w14:ligatures w14:val="none"/>
              </w:rPr>
            </w:pPr>
            <w:r w:rsidRPr="00FE75C3">
              <w:rPr>
                <w:rFonts w:ascii="Arial" w:eastAsia="Times New Roman" w:hAnsi="Arial" w:cs="Arial"/>
                <w:b/>
                <w:bCs/>
                <w:color w:val="222222"/>
                <w:kern w:val="0"/>
                <w:sz w:val="18"/>
                <w:szCs w:val="18"/>
                <w14:ligatures w14:val="none"/>
              </w:rPr>
              <w:t>Definition</w:t>
            </w:r>
          </w:p>
        </w:tc>
      </w:tr>
      <w:tr w:rsidR="00FE75C3" w:rsidRPr="00FE75C3" w14:paraId="6EBD038B" w14:textId="77777777" w:rsidTr="00FE75C3">
        <w:trPr>
          <w:tblCellSpacing w:w="15" w:type="dxa"/>
        </w:trPr>
        <w:tc>
          <w:tcPr>
            <w:tcW w:w="0" w:type="auto"/>
            <w:vMerge w:val="restart"/>
            <w:tcBorders>
              <w:bottom w:val="single" w:sz="6" w:space="0" w:color="auto"/>
            </w:tcBorders>
            <w:shd w:val="clear" w:color="auto" w:fill="FFFFFF"/>
            <w:tcMar>
              <w:top w:w="75" w:type="dxa"/>
              <w:left w:w="105" w:type="dxa"/>
              <w:bottom w:w="75" w:type="dxa"/>
              <w:right w:w="105" w:type="dxa"/>
            </w:tcMar>
            <w:vAlign w:val="center"/>
            <w:hideMark/>
          </w:tcPr>
          <w:p w14:paraId="3CD46960" w14:textId="77777777" w:rsidR="00FE75C3" w:rsidRPr="00FE75C3" w:rsidRDefault="00FE75C3" w:rsidP="00FE75C3">
            <w:pPr>
              <w:spacing w:after="0" w:line="240" w:lineRule="auto"/>
              <w:jc w:val="center"/>
              <w:rPr>
                <w:rFonts w:ascii="Arial" w:eastAsia="Times New Roman" w:hAnsi="Arial" w:cs="Arial"/>
                <w:color w:val="222222"/>
                <w:kern w:val="0"/>
                <w:sz w:val="18"/>
                <w:szCs w:val="18"/>
                <w14:ligatures w14:val="none"/>
              </w:rPr>
            </w:pPr>
            <w:r w:rsidRPr="00FE75C3">
              <w:rPr>
                <w:rFonts w:ascii="Arial" w:eastAsia="Times New Roman" w:hAnsi="Arial" w:cs="Arial"/>
                <w:color w:val="222222"/>
                <w:kern w:val="0"/>
                <w:sz w:val="18"/>
                <w:szCs w:val="18"/>
                <w14:ligatures w14:val="none"/>
              </w:rPr>
              <w:t>2001-20</w:t>
            </w:r>
          </w:p>
        </w:tc>
        <w:tc>
          <w:tcPr>
            <w:tcW w:w="0" w:type="auto"/>
            <w:tcBorders>
              <w:bottom w:val="single" w:sz="2" w:space="0" w:color="auto"/>
            </w:tcBorders>
            <w:shd w:val="clear" w:color="auto" w:fill="FFFFFF"/>
            <w:tcMar>
              <w:top w:w="75" w:type="dxa"/>
              <w:left w:w="105" w:type="dxa"/>
              <w:bottom w:w="75" w:type="dxa"/>
              <w:right w:w="105" w:type="dxa"/>
            </w:tcMar>
            <w:vAlign w:val="center"/>
            <w:hideMark/>
          </w:tcPr>
          <w:p w14:paraId="3BDB49BD" w14:textId="77777777" w:rsidR="00FE75C3" w:rsidRPr="00FE75C3" w:rsidRDefault="00FE75C3" w:rsidP="00FE75C3">
            <w:pPr>
              <w:spacing w:after="0" w:line="240" w:lineRule="auto"/>
              <w:jc w:val="center"/>
              <w:rPr>
                <w:rFonts w:ascii="Arial" w:eastAsia="Times New Roman" w:hAnsi="Arial" w:cs="Arial"/>
                <w:color w:val="222222"/>
                <w:kern w:val="0"/>
                <w:sz w:val="18"/>
                <w:szCs w:val="18"/>
                <w14:ligatures w14:val="none"/>
              </w:rPr>
            </w:pPr>
            <w:r w:rsidRPr="00FE75C3">
              <w:rPr>
                <w:rFonts w:ascii="Arial" w:eastAsia="Times New Roman" w:hAnsi="Arial" w:cs="Arial"/>
                <w:color w:val="222222"/>
                <w:kern w:val="0"/>
                <w:sz w:val="18"/>
                <w:szCs w:val="18"/>
                <w14:ligatures w14:val="none"/>
              </w:rPr>
              <w:t>Metropole</w:t>
            </w:r>
          </w:p>
        </w:tc>
        <w:tc>
          <w:tcPr>
            <w:tcW w:w="0" w:type="auto"/>
            <w:tcBorders>
              <w:bottom w:val="single" w:sz="2" w:space="0" w:color="auto"/>
            </w:tcBorders>
            <w:shd w:val="clear" w:color="auto" w:fill="FFFFFF"/>
            <w:tcMar>
              <w:top w:w="75" w:type="dxa"/>
              <w:left w:w="105" w:type="dxa"/>
              <w:bottom w:w="75" w:type="dxa"/>
              <w:right w:w="105" w:type="dxa"/>
            </w:tcMar>
            <w:vAlign w:val="center"/>
            <w:hideMark/>
          </w:tcPr>
          <w:p w14:paraId="66A8A489" w14:textId="77777777" w:rsidR="00FE75C3" w:rsidRPr="00FE75C3" w:rsidRDefault="00FE75C3" w:rsidP="00FE75C3">
            <w:pPr>
              <w:spacing w:after="0" w:line="240" w:lineRule="auto"/>
              <w:rPr>
                <w:rFonts w:ascii="Arial" w:eastAsia="Times New Roman" w:hAnsi="Arial" w:cs="Arial"/>
                <w:color w:val="222222"/>
                <w:kern w:val="0"/>
                <w:sz w:val="18"/>
                <w:szCs w:val="18"/>
                <w14:ligatures w14:val="none"/>
              </w:rPr>
            </w:pPr>
            <w:r w:rsidRPr="00FE75C3">
              <w:rPr>
                <w:rFonts w:ascii="Arial" w:eastAsia="Times New Roman" w:hAnsi="Arial" w:cs="Arial"/>
                <w:color w:val="222222"/>
                <w:kern w:val="0"/>
                <w:sz w:val="18"/>
                <w:szCs w:val="18"/>
                <w14:ligatures w14:val="none"/>
              </w:rPr>
              <w:t>Urban concentration with a total population of at least 300,000 inhabitants, with developing regional, national, and international functions.</w:t>
            </w:r>
          </w:p>
        </w:tc>
      </w:tr>
      <w:tr w:rsidR="00FE75C3" w:rsidRPr="00FE75C3" w14:paraId="01C711B2" w14:textId="77777777" w:rsidTr="00FE75C3">
        <w:trPr>
          <w:tblCellSpacing w:w="15" w:type="dxa"/>
        </w:trPr>
        <w:tc>
          <w:tcPr>
            <w:tcW w:w="0" w:type="auto"/>
            <w:vMerge/>
            <w:tcBorders>
              <w:bottom w:val="single" w:sz="6" w:space="0" w:color="auto"/>
            </w:tcBorders>
            <w:shd w:val="clear" w:color="auto" w:fill="F9F9F9"/>
            <w:vAlign w:val="center"/>
            <w:hideMark/>
          </w:tcPr>
          <w:p w14:paraId="643DDB4A" w14:textId="77777777" w:rsidR="00FE75C3" w:rsidRPr="00FE75C3" w:rsidRDefault="00FE75C3" w:rsidP="00FE75C3">
            <w:pPr>
              <w:spacing w:after="0" w:line="240" w:lineRule="auto"/>
              <w:jc w:val="both"/>
              <w:rPr>
                <w:rFonts w:ascii="Arial" w:eastAsia="Times New Roman" w:hAnsi="Arial" w:cs="Arial"/>
                <w:color w:val="222222"/>
                <w:kern w:val="0"/>
                <w:sz w:val="18"/>
                <w:szCs w:val="18"/>
                <w14:ligatures w14:val="none"/>
              </w:rPr>
            </w:pPr>
          </w:p>
        </w:tc>
        <w:tc>
          <w:tcPr>
            <w:tcW w:w="0" w:type="auto"/>
            <w:tcBorders>
              <w:bottom w:val="single" w:sz="6" w:space="0" w:color="auto"/>
            </w:tcBorders>
            <w:shd w:val="clear" w:color="auto" w:fill="F9F9F9"/>
            <w:tcMar>
              <w:top w:w="75" w:type="dxa"/>
              <w:left w:w="105" w:type="dxa"/>
              <w:bottom w:w="75" w:type="dxa"/>
              <w:right w:w="105" w:type="dxa"/>
            </w:tcMar>
            <w:vAlign w:val="center"/>
            <w:hideMark/>
          </w:tcPr>
          <w:p w14:paraId="34128006" w14:textId="77777777" w:rsidR="00FE75C3" w:rsidRPr="00FE75C3" w:rsidRDefault="00FE75C3" w:rsidP="00FE75C3">
            <w:pPr>
              <w:spacing w:after="0" w:line="240" w:lineRule="auto"/>
              <w:jc w:val="center"/>
              <w:rPr>
                <w:rFonts w:ascii="Arial" w:eastAsia="Times New Roman" w:hAnsi="Arial" w:cs="Arial"/>
                <w:color w:val="222222"/>
                <w:kern w:val="0"/>
                <w:sz w:val="18"/>
                <w:szCs w:val="18"/>
                <w14:ligatures w14:val="none"/>
              </w:rPr>
            </w:pPr>
            <w:r w:rsidRPr="00FE75C3">
              <w:rPr>
                <w:rFonts w:ascii="Arial" w:eastAsia="Times New Roman" w:hAnsi="Arial" w:cs="Arial"/>
                <w:color w:val="222222"/>
                <w:kern w:val="0"/>
                <w:sz w:val="18"/>
                <w:szCs w:val="18"/>
                <w14:ligatures w14:val="none"/>
              </w:rPr>
              <w:t>Large city</w:t>
            </w:r>
          </w:p>
        </w:tc>
        <w:tc>
          <w:tcPr>
            <w:tcW w:w="0" w:type="auto"/>
            <w:tcBorders>
              <w:bottom w:val="single" w:sz="6" w:space="0" w:color="auto"/>
            </w:tcBorders>
            <w:shd w:val="clear" w:color="auto" w:fill="F9F9F9"/>
            <w:tcMar>
              <w:top w:w="75" w:type="dxa"/>
              <w:left w:w="105" w:type="dxa"/>
              <w:bottom w:w="75" w:type="dxa"/>
              <w:right w:w="105" w:type="dxa"/>
            </w:tcMar>
            <w:vAlign w:val="center"/>
            <w:hideMark/>
          </w:tcPr>
          <w:p w14:paraId="44C62D5D" w14:textId="77777777" w:rsidR="00FE75C3" w:rsidRPr="00FE75C3" w:rsidRDefault="00FE75C3" w:rsidP="00FE75C3">
            <w:pPr>
              <w:spacing w:after="0" w:line="240" w:lineRule="auto"/>
              <w:rPr>
                <w:rFonts w:ascii="Arial" w:eastAsia="Times New Roman" w:hAnsi="Arial" w:cs="Arial"/>
                <w:color w:val="222222"/>
                <w:kern w:val="0"/>
                <w:sz w:val="18"/>
                <w:szCs w:val="18"/>
                <w14:ligatures w14:val="none"/>
              </w:rPr>
            </w:pPr>
            <w:r w:rsidRPr="00FE75C3">
              <w:rPr>
                <w:rFonts w:ascii="Arial" w:eastAsia="Times New Roman" w:hAnsi="Arial" w:cs="Arial"/>
                <w:color w:val="222222"/>
                <w:kern w:val="0"/>
                <w:sz w:val="18"/>
                <w:szCs w:val="18"/>
                <w14:ligatures w14:val="none"/>
              </w:rPr>
              <w:t>Urban concentration with a total population of at least 100,000 inhabitants.</w:t>
            </w:r>
          </w:p>
        </w:tc>
      </w:tr>
      <w:tr w:rsidR="00FE75C3" w:rsidRPr="00FE75C3" w14:paraId="004A4A3B" w14:textId="77777777" w:rsidTr="00FE75C3">
        <w:trPr>
          <w:tblCellSpacing w:w="15" w:type="dxa"/>
        </w:trPr>
        <w:tc>
          <w:tcPr>
            <w:tcW w:w="0" w:type="auto"/>
            <w:vMerge w:val="restart"/>
            <w:tcBorders>
              <w:bottom w:val="single" w:sz="6" w:space="0" w:color="auto"/>
            </w:tcBorders>
            <w:shd w:val="clear" w:color="auto" w:fill="FFFFFF"/>
            <w:tcMar>
              <w:top w:w="75" w:type="dxa"/>
              <w:left w:w="105" w:type="dxa"/>
              <w:bottom w:w="75" w:type="dxa"/>
              <w:right w:w="105" w:type="dxa"/>
            </w:tcMar>
            <w:vAlign w:val="center"/>
            <w:hideMark/>
          </w:tcPr>
          <w:p w14:paraId="4CFE8306" w14:textId="77777777" w:rsidR="00FE75C3" w:rsidRPr="00FE75C3" w:rsidRDefault="00FE75C3" w:rsidP="00FE75C3">
            <w:pPr>
              <w:spacing w:after="0" w:line="240" w:lineRule="auto"/>
              <w:jc w:val="center"/>
              <w:rPr>
                <w:rFonts w:ascii="Arial" w:eastAsia="Times New Roman" w:hAnsi="Arial" w:cs="Arial"/>
                <w:color w:val="222222"/>
                <w:kern w:val="0"/>
                <w:sz w:val="18"/>
                <w:szCs w:val="18"/>
                <w14:ligatures w14:val="none"/>
              </w:rPr>
            </w:pPr>
            <w:r w:rsidRPr="00FE75C3">
              <w:rPr>
                <w:rFonts w:ascii="Arial" w:eastAsia="Times New Roman" w:hAnsi="Arial" w:cs="Arial"/>
                <w:color w:val="222222"/>
                <w:kern w:val="0"/>
                <w:sz w:val="18"/>
                <w:szCs w:val="18"/>
                <w14:ligatures w14:val="none"/>
              </w:rPr>
              <w:t>2006-06</w:t>
            </w:r>
          </w:p>
        </w:tc>
        <w:tc>
          <w:tcPr>
            <w:tcW w:w="0" w:type="auto"/>
            <w:tcBorders>
              <w:bottom w:val="single" w:sz="2" w:space="0" w:color="auto"/>
            </w:tcBorders>
            <w:shd w:val="clear" w:color="auto" w:fill="FFFFFF"/>
            <w:tcMar>
              <w:top w:w="75" w:type="dxa"/>
              <w:left w:w="105" w:type="dxa"/>
              <w:bottom w:w="75" w:type="dxa"/>
              <w:right w:w="105" w:type="dxa"/>
            </w:tcMar>
            <w:vAlign w:val="center"/>
            <w:hideMark/>
          </w:tcPr>
          <w:p w14:paraId="5AF56136" w14:textId="77777777" w:rsidR="00FE75C3" w:rsidRPr="00FE75C3" w:rsidRDefault="00FE75C3" w:rsidP="00FE75C3">
            <w:pPr>
              <w:spacing w:after="0" w:line="240" w:lineRule="auto"/>
              <w:jc w:val="center"/>
              <w:rPr>
                <w:rFonts w:ascii="Arial" w:eastAsia="Times New Roman" w:hAnsi="Arial" w:cs="Arial"/>
                <w:color w:val="222222"/>
                <w:kern w:val="0"/>
                <w:sz w:val="18"/>
                <w:szCs w:val="18"/>
                <w14:ligatures w14:val="none"/>
              </w:rPr>
            </w:pPr>
            <w:r w:rsidRPr="00FE75C3">
              <w:rPr>
                <w:rFonts w:ascii="Arial" w:eastAsia="Times New Roman" w:hAnsi="Arial" w:cs="Arial"/>
                <w:color w:val="222222"/>
                <w:kern w:val="0"/>
                <w:sz w:val="18"/>
                <w:szCs w:val="18"/>
                <w14:ligatures w14:val="none"/>
              </w:rPr>
              <w:t>Medium-sized city</w:t>
            </w:r>
          </w:p>
        </w:tc>
        <w:tc>
          <w:tcPr>
            <w:tcW w:w="0" w:type="auto"/>
            <w:tcBorders>
              <w:bottom w:val="single" w:sz="2" w:space="0" w:color="auto"/>
            </w:tcBorders>
            <w:shd w:val="clear" w:color="auto" w:fill="FFFFFF"/>
            <w:tcMar>
              <w:top w:w="75" w:type="dxa"/>
              <w:left w:w="105" w:type="dxa"/>
              <w:bottom w:w="75" w:type="dxa"/>
              <w:right w:w="105" w:type="dxa"/>
            </w:tcMar>
            <w:vAlign w:val="center"/>
            <w:hideMark/>
          </w:tcPr>
          <w:p w14:paraId="129F31E8" w14:textId="77777777" w:rsidR="00FE75C3" w:rsidRPr="00FE75C3" w:rsidRDefault="00FE75C3" w:rsidP="00FE75C3">
            <w:pPr>
              <w:spacing w:after="0" w:line="240" w:lineRule="auto"/>
              <w:rPr>
                <w:rFonts w:ascii="Arial" w:eastAsia="Times New Roman" w:hAnsi="Arial" w:cs="Arial"/>
                <w:color w:val="222222"/>
                <w:kern w:val="0"/>
                <w:sz w:val="18"/>
                <w:szCs w:val="18"/>
                <w14:ligatures w14:val="none"/>
              </w:rPr>
            </w:pPr>
            <w:r w:rsidRPr="00FE75C3">
              <w:rPr>
                <w:rFonts w:ascii="Arial" w:eastAsia="Times New Roman" w:hAnsi="Arial" w:cs="Arial"/>
                <w:color w:val="222222"/>
                <w:kern w:val="0"/>
                <w:sz w:val="18"/>
                <w:szCs w:val="18"/>
                <w14:ligatures w14:val="none"/>
              </w:rPr>
              <w:t>Urban concentration with a population between 50,000 and 100,000 inhabitants.</w:t>
            </w:r>
          </w:p>
        </w:tc>
      </w:tr>
      <w:tr w:rsidR="00FE75C3" w:rsidRPr="00FE75C3" w14:paraId="4DE5D043" w14:textId="77777777" w:rsidTr="00FE75C3">
        <w:trPr>
          <w:tblCellSpacing w:w="15" w:type="dxa"/>
        </w:trPr>
        <w:tc>
          <w:tcPr>
            <w:tcW w:w="0" w:type="auto"/>
            <w:vMerge/>
            <w:tcBorders>
              <w:bottom w:val="single" w:sz="6" w:space="0" w:color="auto"/>
            </w:tcBorders>
            <w:shd w:val="clear" w:color="auto" w:fill="F9F9F9"/>
            <w:vAlign w:val="center"/>
            <w:hideMark/>
          </w:tcPr>
          <w:p w14:paraId="3D0E6EB5" w14:textId="77777777" w:rsidR="00FE75C3" w:rsidRPr="00FE75C3" w:rsidRDefault="00FE75C3" w:rsidP="00FE75C3">
            <w:pPr>
              <w:spacing w:after="0" w:line="240" w:lineRule="auto"/>
              <w:jc w:val="both"/>
              <w:rPr>
                <w:rFonts w:ascii="Arial" w:eastAsia="Times New Roman" w:hAnsi="Arial" w:cs="Arial"/>
                <w:color w:val="222222"/>
                <w:kern w:val="0"/>
                <w:sz w:val="18"/>
                <w:szCs w:val="18"/>
                <w14:ligatures w14:val="none"/>
              </w:rPr>
            </w:pPr>
          </w:p>
        </w:tc>
        <w:tc>
          <w:tcPr>
            <w:tcW w:w="0" w:type="auto"/>
            <w:tcBorders>
              <w:bottom w:val="single" w:sz="2" w:space="0" w:color="auto"/>
            </w:tcBorders>
            <w:shd w:val="clear" w:color="auto" w:fill="F9F9F9"/>
            <w:tcMar>
              <w:top w:w="75" w:type="dxa"/>
              <w:left w:w="105" w:type="dxa"/>
              <w:bottom w:w="75" w:type="dxa"/>
              <w:right w:w="105" w:type="dxa"/>
            </w:tcMar>
            <w:vAlign w:val="center"/>
            <w:hideMark/>
          </w:tcPr>
          <w:p w14:paraId="6DB9F536" w14:textId="77777777" w:rsidR="00FE75C3" w:rsidRPr="00FE75C3" w:rsidRDefault="00FE75C3" w:rsidP="00FE75C3">
            <w:pPr>
              <w:spacing w:after="0" w:line="240" w:lineRule="auto"/>
              <w:jc w:val="center"/>
              <w:rPr>
                <w:rFonts w:ascii="Arial" w:eastAsia="Times New Roman" w:hAnsi="Arial" w:cs="Arial"/>
                <w:color w:val="222222"/>
                <w:kern w:val="0"/>
                <w:sz w:val="18"/>
                <w:szCs w:val="18"/>
                <w14:ligatures w14:val="none"/>
              </w:rPr>
            </w:pPr>
            <w:r w:rsidRPr="00FE75C3">
              <w:rPr>
                <w:rFonts w:ascii="Arial" w:eastAsia="Times New Roman" w:hAnsi="Arial" w:cs="Arial"/>
                <w:color w:val="222222"/>
                <w:kern w:val="0"/>
                <w:sz w:val="18"/>
                <w:szCs w:val="18"/>
                <w14:ligatures w14:val="none"/>
              </w:rPr>
              <w:t>Small town</w:t>
            </w:r>
          </w:p>
        </w:tc>
        <w:tc>
          <w:tcPr>
            <w:tcW w:w="0" w:type="auto"/>
            <w:tcBorders>
              <w:bottom w:val="single" w:sz="2" w:space="0" w:color="auto"/>
            </w:tcBorders>
            <w:shd w:val="clear" w:color="auto" w:fill="F9F9F9"/>
            <w:tcMar>
              <w:top w:w="75" w:type="dxa"/>
              <w:left w:w="105" w:type="dxa"/>
              <w:bottom w:w="75" w:type="dxa"/>
              <w:right w:w="105" w:type="dxa"/>
            </w:tcMar>
            <w:vAlign w:val="center"/>
            <w:hideMark/>
          </w:tcPr>
          <w:p w14:paraId="12011095" w14:textId="77777777" w:rsidR="00FE75C3" w:rsidRPr="00FE75C3" w:rsidRDefault="00FE75C3" w:rsidP="00FE75C3">
            <w:pPr>
              <w:spacing w:after="0" w:line="240" w:lineRule="auto"/>
              <w:rPr>
                <w:rFonts w:ascii="Arial" w:eastAsia="Times New Roman" w:hAnsi="Arial" w:cs="Arial"/>
                <w:color w:val="222222"/>
                <w:kern w:val="0"/>
                <w:sz w:val="18"/>
                <w:szCs w:val="18"/>
                <w14:ligatures w14:val="none"/>
              </w:rPr>
            </w:pPr>
            <w:r w:rsidRPr="00FE75C3">
              <w:rPr>
                <w:rFonts w:ascii="Arial" w:eastAsia="Times New Roman" w:hAnsi="Arial" w:cs="Arial"/>
                <w:color w:val="222222"/>
                <w:kern w:val="0"/>
                <w:sz w:val="18"/>
                <w:szCs w:val="18"/>
                <w14:ligatures w14:val="none"/>
              </w:rPr>
              <w:t>Urban concentration with a population between 20,000 and 50,000 inhabitants.</w:t>
            </w:r>
          </w:p>
        </w:tc>
      </w:tr>
      <w:tr w:rsidR="00FE75C3" w:rsidRPr="00FE75C3" w14:paraId="72063F14" w14:textId="77777777" w:rsidTr="00FE75C3">
        <w:trPr>
          <w:tblCellSpacing w:w="15" w:type="dxa"/>
        </w:trPr>
        <w:tc>
          <w:tcPr>
            <w:tcW w:w="0" w:type="auto"/>
            <w:vMerge/>
            <w:tcBorders>
              <w:bottom w:val="single" w:sz="6" w:space="0" w:color="auto"/>
            </w:tcBorders>
            <w:shd w:val="clear" w:color="auto" w:fill="FFFFFF"/>
            <w:vAlign w:val="center"/>
            <w:hideMark/>
          </w:tcPr>
          <w:p w14:paraId="047373A9" w14:textId="77777777" w:rsidR="00FE75C3" w:rsidRPr="00FE75C3" w:rsidRDefault="00FE75C3" w:rsidP="00FE75C3">
            <w:pPr>
              <w:spacing w:after="0" w:line="240" w:lineRule="auto"/>
              <w:jc w:val="both"/>
              <w:rPr>
                <w:rFonts w:ascii="Arial" w:eastAsia="Times New Roman" w:hAnsi="Arial" w:cs="Arial"/>
                <w:color w:val="222222"/>
                <w:kern w:val="0"/>
                <w:sz w:val="18"/>
                <w:szCs w:val="18"/>
                <w14:ligatures w14:val="none"/>
              </w:rPr>
            </w:pPr>
          </w:p>
        </w:tc>
        <w:tc>
          <w:tcPr>
            <w:tcW w:w="0" w:type="auto"/>
            <w:tcBorders>
              <w:bottom w:val="single" w:sz="6" w:space="0" w:color="auto"/>
            </w:tcBorders>
            <w:shd w:val="clear" w:color="auto" w:fill="FFFFFF"/>
            <w:tcMar>
              <w:top w:w="75" w:type="dxa"/>
              <w:left w:w="105" w:type="dxa"/>
              <w:bottom w:w="75" w:type="dxa"/>
              <w:right w:w="105" w:type="dxa"/>
            </w:tcMar>
            <w:vAlign w:val="center"/>
            <w:hideMark/>
          </w:tcPr>
          <w:p w14:paraId="5C28BB49" w14:textId="77777777" w:rsidR="00FE75C3" w:rsidRPr="00FE75C3" w:rsidRDefault="00FE75C3" w:rsidP="00FE75C3">
            <w:pPr>
              <w:spacing w:after="0" w:line="240" w:lineRule="auto"/>
              <w:jc w:val="center"/>
              <w:rPr>
                <w:rFonts w:ascii="Arial" w:eastAsia="Times New Roman" w:hAnsi="Arial" w:cs="Arial"/>
                <w:color w:val="222222"/>
                <w:kern w:val="0"/>
                <w:sz w:val="18"/>
                <w:szCs w:val="18"/>
                <w14:ligatures w14:val="none"/>
              </w:rPr>
            </w:pPr>
            <w:r w:rsidRPr="00FE75C3">
              <w:rPr>
                <w:rFonts w:ascii="Arial" w:eastAsia="Times New Roman" w:hAnsi="Arial" w:cs="Arial"/>
                <w:color w:val="222222"/>
                <w:kern w:val="0"/>
                <w:sz w:val="18"/>
                <w:szCs w:val="18"/>
                <w14:ligatures w14:val="none"/>
              </w:rPr>
              <w:t>Urban</w:t>
            </w:r>
            <w:r w:rsidRPr="00FE75C3">
              <w:rPr>
                <w:rFonts w:ascii="Arial" w:eastAsia="Times New Roman" w:hAnsi="Arial" w:cs="Arial"/>
                <w:color w:val="222222"/>
                <w:kern w:val="0"/>
                <w:sz w:val="18"/>
                <w:szCs w:val="18"/>
                <w14:ligatures w14:val="none"/>
              </w:rPr>
              <w:br/>
              <w:t>concentration</w:t>
            </w:r>
          </w:p>
        </w:tc>
        <w:tc>
          <w:tcPr>
            <w:tcW w:w="0" w:type="auto"/>
            <w:tcBorders>
              <w:bottom w:val="single" w:sz="6" w:space="0" w:color="auto"/>
            </w:tcBorders>
            <w:shd w:val="clear" w:color="auto" w:fill="FFFFFF"/>
            <w:tcMar>
              <w:top w:w="75" w:type="dxa"/>
              <w:left w:w="105" w:type="dxa"/>
              <w:bottom w:w="75" w:type="dxa"/>
              <w:right w:w="105" w:type="dxa"/>
            </w:tcMar>
            <w:vAlign w:val="center"/>
            <w:hideMark/>
          </w:tcPr>
          <w:p w14:paraId="21A5D5C2" w14:textId="77777777" w:rsidR="00FE75C3" w:rsidRPr="00FE75C3" w:rsidRDefault="00FE75C3" w:rsidP="00FE75C3">
            <w:pPr>
              <w:spacing w:after="0" w:line="240" w:lineRule="auto"/>
              <w:rPr>
                <w:rFonts w:ascii="Arial" w:eastAsia="Times New Roman" w:hAnsi="Arial" w:cs="Arial"/>
                <w:color w:val="222222"/>
                <w:kern w:val="0"/>
                <w:sz w:val="18"/>
                <w:szCs w:val="18"/>
                <w14:ligatures w14:val="none"/>
              </w:rPr>
            </w:pPr>
            <w:r w:rsidRPr="00FE75C3">
              <w:rPr>
                <w:rFonts w:ascii="Arial" w:eastAsia="Times New Roman" w:hAnsi="Arial" w:cs="Arial"/>
                <w:color w:val="222222"/>
                <w:kern w:val="0"/>
                <w:sz w:val="18"/>
                <w:szCs w:val="18"/>
                <w14:ligatures w14:val="none"/>
              </w:rPr>
              <w:t>Urban settlement with an agglomerated population of at least 5000 inhabitants.</w:t>
            </w:r>
          </w:p>
        </w:tc>
      </w:tr>
    </w:tbl>
    <w:p w14:paraId="1388FDF5" w14:textId="77777777" w:rsidR="00FE75C3" w:rsidRDefault="00FE75C3" w:rsidP="00300ED4">
      <w:pPr>
        <w:spacing w:line="360" w:lineRule="auto"/>
        <w:jc w:val="both"/>
        <w:rPr>
          <w:rFonts w:asciiTheme="majorBidi" w:hAnsiTheme="majorBidi" w:cstheme="majorBidi"/>
          <w:sz w:val="24"/>
          <w:szCs w:val="24"/>
        </w:rPr>
      </w:pPr>
    </w:p>
    <w:p w14:paraId="3FD80CAA" w14:textId="576BA058" w:rsidR="00FE75C3" w:rsidRDefault="00FE75C3" w:rsidP="00300ED4">
      <w:pPr>
        <w:spacing w:line="360" w:lineRule="auto"/>
        <w:jc w:val="both"/>
        <w:rPr>
          <w:rFonts w:ascii="Arial" w:hAnsi="Arial" w:cs="Arial"/>
          <w:color w:val="222222"/>
          <w:sz w:val="20"/>
          <w:szCs w:val="20"/>
          <w:shd w:val="clear" w:color="auto" w:fill="FFFFFF"/>
        </w:rPr>
      </w:pPr>
      <w:r w:rsidRPr="00FE75C3">
        <w:rPr>
          <w:rFonts w:asciiTheme="majorBidi" w:hAnsiTheme="majorBidi" w:cstheme="majorBidi"/>
          <w:color w:val="222222"/>
          <w:sz w:val="24"/>
          <w:szCs w:val="24"/>
          <w:shd w:val="clear" w:color="auto" w:fill="FFFFFF"/>
        </w:rPr>
        <w:t xml:space="preserve">SNAT is partly based on a coordinated action within the neighboring provinces shaping nine programming regions (North Centre, </w:t>
      </w:r>
      <w:r w:rsidRPr="00FE75C3">
        <w:rPr>
          <w:rFonts w:asciiTheme="majorBidi" w:hAnsiTheme="majorBidi" w:cstheme="majorBidi"/>
          <w:color w:val="222222"/>
          <w:sz w:val="24"/>
          <w:szCs w:val="24"/>
          <w:shd w:val="clear" w:color="auto" w:fill="FFFFFF"/>
        </w:rPr>
        <w:t>Northeast</w:t>
      </w:r>
      <w:r w:rsidRPr="00FE75C3">
        <w:rPr>
          <w:rFonts w:asciiTheme="majorBidi" w:hAnsiTheme="majorBidi" w:cstheme="majorBidi"/>
          <w:color w:val="222222"/>
          <w:sz w:val="24"/>
          <w:szCs w:val="24"/>
          <w:shd w:val="clear" w:color="auto" w:fill="FFFFFF"/>
        </w:rPr>
        <w:t xml:space="preserve">, </w:t>
      </w:r>
      <w:r w:rsidRPr="00FE75C3">
        <w:rPr>
          <w:rFonts w:asciiTheme="majorBidi" w:hAnsiTheme="majorBidi" w:cstheme="majorBidi"/>
          <w:color w:val="222222"/>
          <w:sz w:val="24"/>
          <w:szCs w:val="24"/>
          <w:shd w:val="clear" w:color="auto" w:fill="FFFFFF"/>
        </w:rPr>
        <w:t>Northwest</w:t>
      </w:r>
      <w:r w:rsidRPr="00FE75C3">
        <w:rPr>
          <w:rFonts w:asciiTheme="majorBidi" w:hAnsiTheme="majorBidi" w:cstheme="majorBidi"/>
          <w:color w:val="222222"/>
          <w:sz w:val="24"/>
          <w:szCs w:val="24"/>
          <w:shd w:val="clear" w:color="auto" w:fill="FFFFFF"/>
        </w:rPr>
        <w:t xml:space="preserve">, Highlands Centre, Highlands East, Highlands West, </w:t>
      </w:r>
      <w:proofErr w:type="gramStart"/>
      <w:r w:rsidRPr="00FE75C3">
        <w:rPr>
          <w:rFonts w:asciiTheme="majorBidi" w:hAnsiTheme="majorBidi" w:cstheme="majorBidi"/>
          <w:color w:val="222222"/>
          <w:sz w:val="24"/>
          <w:szCs w:val="24"/>
          <w:shd w:val="clear" w:color="auto" w:fill="FFFFFF"/>
        </w:rPr>
        <w:t>South East</w:t>
      </w:r>
      <w:proofErr w:type="gramEnd"/>
      <w:r w:rsidRPr="00FE75C3">
        <w:rPr>
          <w:rFonts w:asciiTheme="majorBidi" w:hAnsiTheme="majorBidi" w:cstheme="majorBidi"/>
          <w:color w:val="222222"/>
          <w:sz w:val="24"/>
          <w:szCs w:val="24"/>
          <w:shd w:val="clear" w:color="auto" w:fill="FFFFFF"/>
        </w:rPr>
        <w:t xml:space="preserve">, South West, and </w:t>
      </w:r>
      <w:proofErr w:type="spellStart"/>
      <w:r w:rsidRPr="00FE75C3">
        <w:rPr>
          <w:rFonts w:asciiTheme="majorBidi" w:hAnsiTheme="majorBidi" w:cstheme="majorBidi"/>
          <w:color w:val="222222"/>
          <w:sz w:val="24"/>
          <w:szCs w:val="24"/>
          <w:shd w:val="clear" w:color="auto" w:fill="FFFFFF"/>
        </w:rPr>
        <w:t>Hoggar</w:t>
      </w:r>
      <w:proofErr w:type="spellEnd"/>
      <w:r w:rsidRPr="00FE75C3">
        <w:rPr>
          <w:rFonts w:asciiTheme="majorBidi" w:hAnsiTheme="majorBidi" w:cstheme="majorBidi"/>
          <w:color w:val="222222"/>
          <w:sz w:val="24"/>
          <w:szCs w:val="24"/>
          <w:shd w:val="clear" w:color="auto" w:fill="FFFFFF"/>
        </w:rPr>
        <w:t xml:space="preserve"> </w:t>
      </w:r>
      <w:proofErr w:type="spellStart"/>
      <w:r w:rsidRPr="00FE75C3">
        <w:rPr>
          <w:rFonts w:asciiTheme="majorBidi" w:hAnsiTheme="majorBidi" w:cstheme="majorBidi"/>
          <w:color w:val="222222"/>
          <w:sz w:val="24"/>
          <w:szCs w:val="24"/>
          <w:shd w:val="clear" w:color="auto" w:fill="FFFFFF"/>
        </w:rPr>
        <w:t>Tassili</w:t>
      </w:r>
      <w:proofErr w:type="spellEnd"/>
      <w:r w:rsidRPr="00FE75C3">
        <w:rPr>
          <w:rFonts w:asciiTheme="majorBidi" w:hAnsiTheme="majorBidi" w:cstheme="majorBidi"/>
          <w:color w:val="222222"/>
          <w:sz w:val="24"/>
          <w:szCs w:val="24"/>
          <w:shd w:val="clear" w:color="auto" w:fill="FFFFFF"/>
        </w:rPr>
        <w:t xml:space="preserve"> regions). According to article number 41 of Act 87-03 (1987), each region has more provinces that share similar geomorphological characteristics and/or demonstrate complementarity (relationships) in the use of natural resources and cooperate in their planning and development activities</w:t>
      </w:r>
      <w:r>
        <w:rPr>
          <w:rFonts w:ascii="Arial" w:hAnsi="Arial" w:cs="Arial"/>
          <w:color w:val="222222"/>
          <w:sz w:val="20"/>
          <w:szCs w:val="20"/>
          <w:shd w:val="clear" w:color="auto" w:fill="FFFFFF"/>
        </w:rPr>
        <w:t>. </w:t>
      </w:r>
    </w:p>
    <w:p w14:paraId="01A131A0" w14:textId="559227F8" w:rsidR="001D7B6E" w:rsidRDefault="001D7B6E" w:rsidP="001D7B6E">
      <w:pPr>
        <w:shd w:val="clear" w:color="auto" w:fill="FFFFFF"/>
        <w:spacing w:after="0" w:line="360" w:lineRule="auto"/>
        <w:ind w:firstLine="480"/>
        <w:jc w:val="both"/>
        <w:rPr>
          <w:rFonts w:asciiTheme="majorBidi" w:eastAsia="Times New Roman" w:hAnsiTheme="majorBidi" w:cstheme="majorBidi"/>
          <w:color w:val="222222"/>
          <w:kern w:val="0"/>
          <w:sz w:val="24"/>
          <w:szCs w:val="24"/>
          <w14:ligatures w14:val="none"/>
        </w:rPr>
      </w:pPr>
      <w:r w:rsidRPr="001D7B6E">
        <w:rPr>
          <w:rFonts w:asciiTheme="majorBidi" w:eastAsia="Times New Roman" w:hAnsiTheme="majorBidi" w:cstheme="majorBidi"/>
          <w:color w:val="222222"/>
          <w:kern w:val="0"/>
          <w:sz w:val="24"/>
          <w:szCs w:val="24"/>
          <w14:ligatures w14:val="none"/>
        </w:rPr>
        <w:t>The</w:t>
      </w:r>
      <w:r w:rsidRPr="001D7B6E">
        <w:rPr>
          <w:rFonts w:asciiTheme="majorBidi" w:eastAsia="Times New Roman" w:hAnsiTheme="majorBidi" w:cstheme="majorBidi"/>
          <w:color w:val="222222"/>
          <w:kern w:val="0"/>
          <w:sz w:val="24"/>
          <w:szCs w:val="24"/>
          <w14:ligatures w14:val="none"/>
        </w:rPr>
        <w:t xml:space="preserve"> number of urban settlements increased by 65% between 1987 and 1998, although this growth was unevenly distributed across the country. About 80% of the new towns </w:t>
      </w:r>
      <w:r w:rsidR="00E15C6F" w:rsidRPr="001D7B6E">
        <w:rPr>
          <w:rFonts w:asciiTheme="majorBidi" w:eastAsia="Times New Roman" w:hAnsiTheme="majorBidi" w:cstheme="majorBidi"/>
          <w:color w:val="222222"/>
          <w:kern w:val="0"/>
          <w:sz w:val="24"/>
          <w:szCs w:val="24"/>
          <w14:ligatures w14:val="none"/>
        </w:rPr>
        <w:t>were in</w:t>
      </w:r>
      <w:r w:rsidRPr="001D7B6E">
        <w:rPr>
          <w:rFonts w:asciiTheme="majorBidi" w:eastAsia="Times New Roman" w:hAnsiTheme="majorBidi" w:cstheme="majorBidi"/>
          <w:color w:val="222222"/>
          <w:kern w:val="0"/>
          <w:sz w:val="24"/>
          <w:szCs w:val="24"/>
          <w14:ligatures w14:val="none"/>
        </w:rPr>
        <w:t xml:space="preserve"> the three northern regions, and the Highland East, the latter region saw the greatest absolute and relative growth in urbanization during this period. </w:t>
      </w:r>
    </w:p>
    <w:p w14:paraId="417F5081" w14:textId="77777777" w:rsidR="001D7B6E" w:rsidRDefault="001D7B6E" w:rsidP="001D7B6E">
      <w:pPr>
        <w:shd w:val="clear" w:color="auto" w:fill="FFFFFF"/>
        <w:spacing w:after="0" w:line="360" w:lineRule="auto"/>
        <w:ind w:firstLine="480"/>
        <w:jc w:val="both"/>
        <w:rPr>
          <w:rFonts w:asciiTheme="majorBidi" w:eastAsia="Times New Roman" w:hAnsiTheme="majorBidi" w:cstheme="majorBidi"/>
          <w:color w:val="222222"/>
          <w:kern w:val="0"/>
          <w:sz w:val="24"/>
          <w:szCs w:val="24"/>
          <w14:ligatures w14:val="none"/>
        </w:rPr>
      </w:pPr>
      <w:r w:rsidRPr="001D7B6E">
        <w:rPr>
          <w:rFonts w:asciiTheme="majorBidi" w:eastAsia="Times New Roman" w:hAnsiTheme="majorBidi" w:cstheme="majorBidi"/>
          <w:color w:val="222222"/>
          <w:kern w:val="0"/>
          <w:sz w:val="24"/>
          <w:szCs w:val="24"/>
          <w14:ligatures w14:val="none"/>
        </w:rPr>
        <w:t xml:space="preserve">On the contrary, there were no new urban settlements in the </w:t>
      </w:r>
      <w:proofErr w:type="spellStart"/>
      <w:r w:rsidRPr="001D7B6E">
        <w:rPr>
          <w:rFonts w:asciiTheme="majorBidi" w:eastAsia="Times New Roman" w:hAnsiTheme="majorBidi" w:cstheme="majorBidi"/>
          <w:color w:val="222222"/>
          <w:kern w:val="0"/>
          <w:sz w:val="24"/>
          <w:szCs w:val="24"/>
          <w14:ligatures w14:val="none"/>
        </w:rPr>
        <w:t>Hoggar</w:t>
      </w:r>
      <w:proofErr w:type="spellEnd"/>
      <w:r w:rsidRPr="001D7B6E">
        <w:rPr>
          <w:rFonts w:asciiTheme="majorBidi" w:eastAsia="Times New Roman" w:hAnsiTheme="majorBidi" w:cstheme="majorBidi"/>
          <w:color w:val="222222"/>
          <w:kern w:val="0"/>
          <w:sz w:val="24"/>
          <w:szCs w:val="24"/>
          <w14:ligatures w14:val="none"/>
        </w:rPr>
        <w:t xml:space="preserve"> </w:t>
      </w:r>
      <w:proofErr w:type="spellStart"/>
      <w:r w:rsidRPr="001D7B6E">
        <w:rPr>
          <w:rFonts w:asciiTheme="majorBidi" w:eastAsia="Times New Roman" w:hAnsiTheme="majorBidi" w:cstheme="majorBidi"/>
          <w:color w:val="222222"/>
          <w:kern w:val="0"/>
          <w:sz w:val="24"/>
          <w:szCs w:val="24"/>
          <w14:ligatures w14:val="none"/>
        </w:rPr>
        <w:t>Tassili</w:t>
      </w:r>
      <w:proofErr w:type="spellEnd"/>
      <w:r w:rsidRPr="001D7B6E">
        <w:rPr>
          <w:rFonts w:asciiTheme="majorBidi" w:eastAsia="Times New Roman" w:hAnsiTheme="majorBidi" w:cstheme="majorBidi"/>
          <w:color w:val="222222"/>
          <w:kern w:val="0"/>
          <w:sz w:val="24"/>
          <w:szCs w:val="24"/>
          <w14:ligatures w14:val="none"/>
        </w:rPr>
        <w:t xml:space="preserve"> region. </w:t>
      </w:r>
    </w:p>
    <w:p w14:paraId="59E167DF" w14:textId="77777777" w:rsidR="001D7B6E" w:rsidRDefault="001D7B6E" w:rsidP="001D7B6E">
      <w:pPr>
        <w:shd w:val="clear" w:color="auto" w:fill="FFFFFF"/>
        <w:spacing w:after="0" w:line="360" w:lineRule="auto"/>
        <w:ind w:firstLine="480"/>
        <w:jc w:val="both"/>
        <w:rPr>
          <w:rFonts w:asciiTheme="majorBidi" w:eastAsia="Times New Roman" w:hAnsiTheme="majorBidi" w:cstheme="majorBidi"/>
          <w:color w:val="222222"/>
          <w:kern w:val="0"/>
          <w:sz w:val="24"/>
          <w:szCs w:val="24"/>
          <w14:ligatures w14:val="none"/>
        </w:rPr>
      </w:pPr>
      <w:r w:rsidRPr="001D7B6E">
        <w:rPr>
          <w:rFonts w:asciiTheme="majorBidi" w:eastAsia="Times New Roman" w:hAnsiTheme="majorBidi" w:cstheme="majorBidi"/>
          <w:color w:val="222222"/>
          <w:kern w:val="0"/>
          <w:sz w:val="24"/>
          <w:szCs w:val="24"/>
          <w14:ligatures w14:val="none"/>
        </w:rPr>
        <w:t xml:space="preserve">The urban population also increased by 58% during this period, with more than 75% of the absolute growth concentrated in the three northern regions and the Highland East. The Highland regions exhibited above-average relative growth in their urban population, while the </w:t>
      </w:r>
      <w:proofErr w:type="spellStart"/>
      <w:r w:rsidRPr="001D7B6E">
        <w:rPr>
          <w:rFonts w:asciiTheme="majorBidi" w:eastAsia="Times New Roman" w:hAnsiTheme="majorBidi" w:cstheme="majorBidi"/>
          <w:color w:val="222222"/>
          <w:kern w:val="0"/>
          <w:sz w:val="24"/>
          <w:szCs w:val="24"/>
          <w14:ligatures w14:val="none"/>
        </w:rPr>
        <w:t>Hoggar-Tassili</w:t>
      </w:r>
      <w:proofErr w:type="spellEnd"/>
      <w:r w:rsidRPr="001D7B6E">
        <w:rPr>
          <w:rFonts w:asciiTheme="majorBidi" w:eastAsia="Times New Roman" w:hAnsiTheme="majorBidi" w:cstheme="majorBidi"/>
          <w:color w:val="222222"/>
          <w:kern w:val="0"/>
          <w:sz w:val="24"/>
          <w:szCs w:val="24"/>
          <w14:ligatures w14:val="none"/>
        </w:rPr>
        <w:t xml:space="preserve"> region’s high relative growth was not as visible due to its small local urban population. </w:t>
      </w:r>
    </w:p>
    <w:p w14:paraId="05B19E5A" w14:textId="631448A2" w:rsidR="00E15C6F" w:rsidRPr="00E15C6F" w:rsidRDefault="001D7B6E" w:rsidP="001D7B6E">
      <w:pPr>
        <w:shd w:val="clear" w:color="auto" w:fill="FFFFFF"/>
        <w:spacing w:after="0" w:line="360" w:lineRule="auto"/>
        <w:ind w:firstLine="480"/>
        <w:jc w:val="both"/>
        <w:rPr>
          <w:rFonts w:asciiTheme="majorBidi" w:eastAsia="Times New Roman" w:hAnsiTheme="majorBidi" w:cstheme="majorBidi"/>
          <w:color w:val="222222"/>
          <w:kern w:val="0"/>
          <w:sz w:val="24"/>
          <w:szCs w:val="24"/>
          <w14:ligatures w14:val="none"/>
        </w:rPr>
      </w:pPr>
      <w:r w:rsidRPr="001D7B6E">
        <w:rPr>
          <w:rFonts w:asciiTheme="majorBidi" w:eastAsia="Times New Roman" w:hAnsiTheme="majorBidi" w:cstheme="majorBidi"/>
          <w:color w:val="222222"/>
          <w:kern w:val="0"/>
          <w:sz w:val="24"/>
          <w:szCs w:val="24"/>
          <w14:ligatures w14:val="none"/>
        </w:rPr>
        <w:t>In terms of urban network and the urban population growth, the former was slightly more dynamic, with population concentration mainly occurring in some Highland and southern regions</w:t>
      </w:r>
      <w:r w:rsidR="00E15C6F" w:rsidRPr="00E15C6F">
        <w:rPr>
          <w:rFonts w:asciiTheme="majorBidi" w:eastAsia="Times New Roman" w:hAnsiTheme="majorBidi" w:cstheme="majorBidi"/>
          <w:color w:val="222222"/>
          <w:kern w:val="0"/>
          <w:sz w:val="24"/>
          <w:szCs w:val="24"/>
          <w14:ligatures w14:val="none"/>
        </w:rPr>
        <w:t>.</w:t>
      </w:r>
    </w:p>
    <w:p w14:paraId="22FB8E1D" w14:textId="77777777" w:rsidR="00E15C6F" w:rsidRDefault="00E15C6F" w:rsidP="001D7B6E">
      <w:pPr>
        <w:shd w:val="clear" w:color="auto" w:fill="FFFFFF"/>
        <w:spacing w:after="0" w:line="360" w:lineRule="auto"/>
        <w:ind w:firstLine="480"/>
        <w:jc w:val="both"/>
        <w:rPr>
          <w:rFonts w:asciiTheme="majorBidi" w:hAnsiTheme="majorBidi" w:cstheme="majorBidi"/>
          <w:color w:val="222222"/>
          <w:sz w:val="24"/>
          <w:szCs w:val="24"/>
          <w:shd w:val="clear" w:color="auto" w:fill="FFFFFF"/>
        </w:rPr>
      </w:pPr>
      <w:r w:rsidRPr="00E15C6F">
        <w:rPr>
          <w:rFonts w:asciiTheme="majorBidi" w:hAnsiTheme="majorBidi" w:cstheme="majorBidi"/>
          <w:b/>
          <w:bCs/>
          <w:color w:val="222222"/>
          <w:sz w:val="24"/>
          <w:szCs w:val="24"/>
          <w:shd w:val="clear" w:color="auto" w:fill="FFFFFF"/>
        </w:rPr>
        <w:t>What changed during the next decade (1998–2008)?</w:t>
      </w:r>
      <w:r w:rsidRPr="00E15C6F">
        <w:rPr>
          <w:rFonts w:asciiTheme="majorBidi" w:hAnsiTheme="majorBidi" w:cstheme="majorBidi"/>
          <w:color w:val="222222"/>
          <w:sz w:val="24"/>
          <w:szCs w:val="24"/>
          <w:shd w:val="clear" w:color="auto" w:fill="FFFFFF"/>
        </w:rPr>
        <w:t xml:space="preserve"> </w:t>
      </w:r>
    </w:p>
    <w:p w14:paraId="3E6D2CCE" w14:textId="77777777" w:rsidR="00651B88" w:rsidRDefault="00E15C6F" w:rsidP="001D7B6E">
      <w:pPr>
        <w:shd w:val="clear" w:color="auto" w:fill="FFFFFF"/>
        <w:spacing w:after="0" w:line="360" w:lineRule="auto"/>
        <w:ind w:firstLine="480"/>
        <w:jc w:val="both"/>
        <w:rPr>
          <w:rFonts w:asciiTheme="majorBidi" w:hAnsiTheme="majorBidi" w:cstheme="majorBidi"/>
          <w:color w:val="222222"/>
          <w:sz w:val="24"/>
          <w:szCs w:val="24"/>
          <w:shd w:val="clear" w:color="auto" w:fill="FFFFFF"/>
        </w:rPr>
      </w:pPr>
      <w:r w:rsidRPr="00E15C6F">
        <w:rPr>
          <w:rFonts w:asciiTheme="majorBidi" w:hAnsiTheme="majorBidi" w:cstheme="majorBidi"/>
          <w:color w:val="222222"/>
          <w:sz w:val="24"/>
          <w:szCs w:val="24"/>
          <w:shd w:val="clear" w:color="auto" w:fill="FFFFFF"/>
        </w:rPr>
        <w:t xml:space="preserve">Compared to the previous period, there was a national-level slowdown in the growth of both urban network density and urban population. This trend was observed in almost every region, except for </w:t>
      </w:r>
      <w:proofErr w:type="spellStart"/>
      <w:r w:rsidRPr="00E15C6F">
        <w:rPr>
          <w:rFonts w:asciiTheme="majorBidi" w:hAnsiTheme="majorBidi" w:cstheme="majorBidi"/>
          <w:color w:val="222222"/>
          <w:sz w:val="24"/>
          <w:szCs w:val="24"/>
          <w:shd w:val="clear" w:color="auto" w:fill="FFFFFF"/>
        </w:rPr>
        <w:t>Hoggar</w:t>
      </w:r>
      <w:proofErr w:type="spellEnd"/>
      <w:r w:rsidRPr="00E15C6F">
        <w:rPr>
          <w:rFonts w:asciiTheme="majorBidi" w:hAnsiTheme="majorBidi" w:cstheme="majorBidi"/>
          <w:color w:val="222222"/>
          <w:sz w:val="24"/>
          <w:szCs w:val="24"/>
          <w:shd w:val="clear" w:color="auto" w:fill="FFFFFF"/>
        </w:rPr>
        <w:t xml:space="preserve"> </w:t>
      </w:r>
      <w:proofErr w:type="spellStart"/>
      <w:r w:rsidRPr="00E15C6F">
        <w:rPr>
          <w:rFonts w:asciiTheme="majorBidi" w:hAnsiTheme="majorBidi" w:cstheme="majorBidi"/>
          <w:color w:val="222222"/>
          <w:sz w:val="24"/>
          <w:szCs w:val="24"/>
          <w:shd w:val="clear" w:color="auto" w:fill="FFFFFF"/>
        </w:rPr>
        <w:t>Tassili</w:t>
      </w:r>
      <w:proofErr w:type="spellEnd"/>
      <w:r w:rsidRPr="00E15C6F">
        <w:rPr>
          <w:rFonts w:asciiTheme="majorBidi" w:hAnsiTheme="majorBidi" w:cstheme="majorBidi"/>
          <w:color w:val="222222"/>
          <w:sz w:val="24"/>
          <w:szCs w:val="24"/>
          <w:shd w:val="clear" w:color="auto" w:fill="FFFFFF"/>
        </w:rPr>
        <w:t xml:space="preserve"> regarding the number of urban settlements and the </w:t>
      </w:r>
      <w:r w:rsidRPr="00E15C6F">
        <w:rPr>
          <w:rFonts w:asciiTheme="majorBidi" w:hAnsiTheme="majorBidi" w:cstheme="majorBidi"/>
          <w:color w:val="222222"/>
          <w:sz w:val="24"/>
          <w:szCs w:val="24"/>
          <w:shd w:val="clear" w:color="auto" w:fill="FFFFFF"/>
        </w:rPr>
        <w:t>Southwest</w:t>
      </w:r>
      <w:r w:rsidRPr="00E15C6F">
        <w:rPr>
          <w:rFonts w:asciiTheme="majorBidi" w:hAnsiTheme="majorBidi" w:cstheme="majorBidi"/>
          <w:color w:val="222222"/>
          <w:sz w:val="24"/>
          <w:szCs w:val="24"/>
          <w:shd w:val="clear" w:color="auto" w:fill="FFFFFF"/>
        </w:rPr>
        <w:t xml:space="preserve"> regarding urban population growth rate. </w:t>
      </w:r>
    </w:p>
    <w:p w14:paraId="6AB9C96E" w14:textId="77777777" w:rsidR="00651B88" w:rsidRDefault="00E15C6F" w:rsidP="001D7B6E">
      <w:pPr>
        <w:shd w:val="clear" w:color="auto" w:fill="FFFFFF"/>
        <w:spacing w:after="0" w:line="360" w:lineRule="auto"/>
        <w:ind w:firstLine="480"/>
        <w:jc w:val="both"/>
        <w:rPr>
          <w:rFonts w:asciiTheme="majorBidi" w:hAnsiTheme="majorBidi" w:cstheme="majorBidi"/>
          <w:color w:val="222222"/>
          <w:sz w:val="24"/>
          <w:szCs w:val="24"/>
          <w:shd w:val="clear" w:color="auto" w:fill="FFFFFF"/>
        </w:rPr>
      </w:pPr>
      <w:r w:rsidRPr="00E15C6F">
        <w:rPr>
          <w:rFonts w:asciiTheme="majorBidi" w:hAnsiTheme="majorBidi" w:cstheme="majorBidi"/>
          <w:color w:val="222222"/>
          <w:sz w:val="24"/>
          <w:szCs w:val="24"/>
          <w:shd w:val="clear" w:color="auto" w:fill="FFFFFF"/>
        </w:rPr>
        <w:t xml:space="preserve">Furthermore, there was a tendency towards greater population concentration within the urban network. </w:t>
      </w:r>
      <w:proofErr w:type="gramStart"/>
      <w:r w:rsidRPr="00E15C6F">
        <w:rPr>
          <w:rFonts w:asciiTheme="majorBidi" w:hAnsiTheme="majorBidi" w:cstheme="majorBidi"/>
          <w:color w:val="222222"/>
          <w:sz w:val="24"/>
          <w:szCs w:val="24"/>
          <w:shd w:val="clear" w:color="auto" w:fill="FFFFFF"/>
        </w:rPr>
        <w:t>The majority of</w:t>
      </w:r>
      <w:proofErr w:type="gramEnd"/>
      <w:r w:rsidRPr="00E15C6F">
        <w:rPr>
          <w:rFonts w:asciiTheme="majorBidi" w:hAnsiTheme="majorBidi" w:cstheme="majorBidi"/>
          <w:color w:val="222222"/>
          <w:sz w:val="24"/>
          <w:szCs w:val="24"/>
          <w:shd w:val="clear" w:color="auto" w:fill="FFFFFF"/>
        </w:rPr>
        <w:t xml:space="preserve"> the new urban settlements (80%) and urban population growth (56%) were concentrated in the northern regions with average or under-average urban population dynamics. </w:t>
      </w:r>
    </w:p>
    <w:p w14:paraId="76FCBA05" w14:textId="7D5CC335" w:rsidR="00E15C6F" w:rsidRDefault="00E15C6F" w:rsidP="001D7B6E">
      <w:pPr>
        <w:shd w:val="clear" w:color="auto" w:fill="FFFFFF"/>
        <w:spacing w:after="0" w:line="360" w:lineRule="auto"/>
        <w:ind w:firstLine="480"/>
        <w:jc w:val="both"/>
        <w:rPr>
          <w:rFonts w:asciiTheme="majorBidi" w:hAnsiTheme="majorBidi" w:cstheme="majorBidi"/>
          <w:color w:val="222222"/>
          <w:sz w:val="24"/>
          <w:szCs w:val="24"/>
          <w:shd w:val="clear" w:color="auto" w:fill="FFFFFF"/>
        </w:rPr>
      </w:pPr>
      <w:r w:rsidRPr="00E15C6F">
        <w:rPr>
          <w:rFonts w:asciiTheme="majorBidi" w:hAnsiTheme="majorBidi" w:cstheme="majorBidi"/>
          <w:color w:val="222222"/>
          <w:sz w:val="24"/>
          <w:szCs w:val="24"/>
          <w:shd w:val="clear" w:color="auto" w:fill="FFFFFF"/>
        </w:rPr>
        <w:t xml:space="preserve">This growth pattern was more spatially concentrated in terms of new urban settlements and less concentrated in terms of urban population than in the previous period. The North Centre showed one of the highest growth </w:t>
      </w:r>
      <w:r w:rsidRPr="00E15C6F">
        <w:rPr>
          <w:rFonts w:asciiTheme="majorBidi" w:hAnsiTheme="majorBidi" w:cstheme="majorBidi"/>
          <w:color w:val="222222"/>
          <w:sz w:val="24"/>
          <w:szCs w:val="24"/>
          <w:shd w:val="clear" w:color="auto" w:fill="FFFFFF"/>
        </w:rPr>
        <w:lastRenderedPageBreak/>
        <w:t>rates in the number of urban settlements but the lowest urban population growth rate. These tendencies may indicate a suburbanization process, with a spatial extension of urbanization around the capital city</w:t>
      </w:r>
      <w:r>
        <w:rPr>
          <w:rFonts w:asciiTheme="majorBidi" w:hAnsiTheme="majorBidi" w:cstheme="majorBidi"/>
          <w:color w:val="222222"/>
          <w:sz w:val="24"/>
          <w:szCs w:val="24"/>
          <w:shd w:val="clear" w:color="auto" w:fill="FFFFFF"/>
        </w:rPr>
        <w:t>.</w:t>
      </w:r>
      <w:r w:rsidRPr="00E15C6F">
        <w:rPr>
          <w:rFonts w:asciiTheme="majorBidi" w:hAnsiTheme="majorBidi" w:cstheme="majorBidi"/>
          <w:color w:val="222222"/>
          <w:sz w:val="24"/>
          <w:szCs w:val="24"/>
          <w:shd w:val="clear" w:color="auto" w:fill="FFFFFF"/>
        </w:rPr>
        <w:t> </w:t>
      </w:r>
    </w:p>
    <w:p w14:paraId="77B2D116" w14:textId="77777777" w:rsidR="004B2123" w:rsidRPr="004B2123" w:rsidRDefault="004B2123" w:rsidP="004B2123">
      <w:pPr>
        <w:shd w:val="clear" w:color="auto" w:fill="FFFFFF"/>
        <w:spacing w:after="0" w:line="360" w:lineRule="auto"/>
        <w:ind w:firstLine="480"/>
        <w:rPr>
          <w:rFonts w:asciiTheme="majorBidi" w:eastAsia="Times New Roman" w:hAnsiTheme="majorBidi" w:cstheme="majorBidi"/>
          <w:b/>
          <w:bCs/>
          <w:color w:val="222222"/>
          <w:kern w:val="0"/>
          <w:sz w:val="24"/>
          <w:szCs w:val="24"/>
          <w14:ligatures w14:val="none"/>
        </w:rPr>
      </w:pPr>
      <w:r w:rsidRPr="004B2123">
        <w:rPr>
          <w:rFonts w:asciiTheme="majorBidi" w:eastAsia="Times New Roman" w:hAnsiTheme="majorBidi" w:cstheme="majorBidi"/>
          <w:b/>
          <w:bCs/>
          <w:color w:val="222222"/>
          <w:kern w:val="0"/>
          <w:sz w:val="24"/>
          <w:szCs w:val="24"/>
          <w14:ligatures w14:val="none"/>
        </w:rPr>
        <w:t>The intensification of the urban frame through the transition from rural to urban</w:t>
      </w:r>
    </w:p>
    <w:p w14:paraId="71363F07" w14:textId="013897BA" w:rsidR="004B2123" w:rsidRDefault="004B2123" w:rsidP="004B2123">
      <w:pPr>
        <w:shd w:val="clear" w:color="auto" w:fill="FFFFFF"/>
        <w:spacing w:after="0" w:line="360" w:lineRule="auto"/>
        <w:ind w:firstLine="480"/>
        <w:jc w:val="both"/>
        <w:rPr>
          <w:rFonts w:asciiTheme="majorBidi" w:eastAsia="Times New Roman" w:hAnsiTheme="majorBidi" w:cstheme="majorBidi"/>
          <w:color w:val="222222"/>
          <w:kern w:val="0"/>
          <w:sz w:val="24"/>
          <w:szCs w:val="24"/>
          <w14:ligatures w14:val="none"/>
        </w:rPr>
      </w:pPr>
      <w:r w:rsidRPr="004B2123">
        <w:rPr>
          <w:rFonts w:asciiTheme="majorBidi" w:eastAsia="Times New Roman" w:hAnsiTheme="majorBidi" w:cstheme="majorBidi"/>
          <w:color w:val="222222"/>
          <w:kern w:val="0"/>
          <w:sz w:val="24"/>
          <w:szCs w:val="24"/>
          <w14:ligatures w14:val="none"/>
        </w:rPr>
        <w:t xml:space="preserve">Our analysis of a sufficiently long period shows that significant changes have </w:t>
      </w:r>
      <w:proofErr w:type="spellStart"/>
      <w:r w:rsidRPr="004B2123">
        <w:rPr>
          <w:rFonts w:asciiTheme="majorBidi" w:eastAsia="Times New Roman" w:hAnsiTheme="majorBidi" w:cstheme="majorBidi"/>
          <w:color w:val="222222"/>
          <w:kern w:val="0"/>
          <w:sz w:val="24"/>
          <w:szCs w:val="24"/>
          <w14:ligatures w14:val="none"/>
        </w:rPr>
        <w:t>oc-curred</w:t>
      </w:r>
      <w:proofErr w:type="spellEnd"/>
      <w:r w:rsidRPr="004B2123">
        <w:rPr>
          <w:rFonts w:asciiTheme="majorBidi" w:eastAsia="Times New Roman" w:hAnsiTheme="majorBidi" w:cstheme="majorBidi"/>
          <w:color w:val="222222"/>
          <w:kern w:val="0"/>
          <w:sz w:val="24"/>
          <w:szCs w:val="24"/>
          <w14:ligatures w14:val="none"/>
        </w:rPr>
        <w:t xml:space="preserve"> in the urban population in Algeria (Figure 2). Among the 748 urban cities </w:t>
      </w:r>
      <w:proofErr w:type="spellStart"/>
      <w:proofErr w:type="gramStart"/>
      <w:r w:rsidRPr="004B2123">
        <w:rPr>
          <w:rFonts w:asciiTheme="majorBidi" w:eastAsia="Times New Roman" w:hAnsiTheme="majorBidi" w:cstheme="majorBidi"/>
          <w:color w:val="222222"/>
          <w:kern w:val="0"/>
          <w:sz w:val="24"/>
          <w:szCs w:val="24"/>
          <w14:ligatures w14:val="none"/>
        </w:rPr>
        <w:t>regis-tered</w:t>
      </w:r>
      <w:proofErr w:type="spellEnd"/>
      <w:proofErr w:type="gramEnd"/>
      <w:r w:rsidRPr="004B2123">
        <w:rPr>
          <w:rFonts w:asciiTheme="majorBidi" w:eastAsia="Times New Roman" w:hAnsiTheme="majorBidi" w:cstheme="majorBidi"/>
          <w:color w:val="222222"/>
          <w:kern w:val="0"/>
          <w:sz w:val="24"/>
          <w:szCs w:val="24"/>
          <w14:ligatures w14:val="none"/>
        </w:rPr>
        <w:t xml:space="preserve"> in 2008, 674 were rural settlements in 1954 which represent more than 90% of </w:t>
      </w:r>
      <w:proofErr w:type="spellStart"/>
      <w:r w:rsidRPr="004B2123">
        <w:rPr>
          <w:rFonts w:asciiTheme="majorBidi" w:eastAsia="Times New Roman" w:hAnsiTheme="majorBidi" w:cstheme="majorBidi"/>
          <w:color w:val="222222"/>
          <w:kern w:val="0"/>
          <w:sz w:val="24"/>
          <w:szCs w:val="24"/>
          <w14:ligatures w14:val="none"/>
        </w:rPr>
        <w:t>thetotal</w:t>
      </w:r>
      <w:proofErr w:type="spellEnd"/>
      <w:r w:rsidRPr="004B2123">
        <w:rPr>
          <w:rFonts w:asciiTheme="majorBidi" w:eastAsia="Times New Roman" w:hAnsiTheme="majorBidi" w:cstheme="majorBidi"/>
          <w:color w:val="222222"/>
          <w:kern w:val="0"/>
          <w:sz w:val="24"/>
          <w:szCs w:val="24"/>
          <w14:ligatures w14:val="none"/>
        </w:rPr>
        <w:t xml:space="preserve">. In detail, the transition from rural to urban has been done in the following way(Figure 3): (1) Algeria had 74 urban settlements in 1954, (2) 62 rural settlements in 1954 became urban in 1966, (3) 75 rural settlements in 1966 became urban in 1977, (4) 236 </w:t>
      </w:r>
      <w:proofErr w:type="spellStart"/>
      <w:r w:rsidRPr="004B2123">
        <w:rPr>
          <w:rFonts w:asciiTheme="majorBidi" w:eastAsia="Times New Roman" w:hAnsiTheme="majorBidi" w:cstheme="majorBidi"/>
          <w:color w:val="222222"/>
          <w:kern w:val="0"/>
          <w:sz w:val="24"/>
          <w:szCs w:val="24"/>
          <w14:ligatures w14:val="none"/>
        </w:rPr>
        <w:t>ruralsettlements</w:t>
      </w:r>
      <w:proofErr w:type="spellEnd"/>
      <w:r w:rsidRPr="004B2123">
        <w:rPr>
          <w:rFonts w:asciiTheme="majorBidi" w:eastAsia="Times New Roman" w:hAnsiTheme="majorBidi" w:cstheme="majorBidi"/>
          <w:color w:val="222222"/>
          <w:kern w:val="0"/>
          <w:sz w:val="24"/>
          <w:szCs w:val="24"/>
          <w14:ligatures w14:val="none"/>
        </w:rPr>
        <w:t xml:space="preserve"> in 1977 became urban in1987, (5) 132 rural settlements in 1987 became urban</w:t>
      </w:r>
      <w:r>
        <w:rPr>
          <w:rFonts w:asciiTheme="majorBidi" w:eastAsia="Times New Roman" w:hAnsiTheme="majorBidi" w:cstheme="majorBidi"/>
          <w:color w:val="222222"/>
          <w:kern w:val="0"/>
          <w:sz w:val="24"/>
          <w:szCs w:val="24"/>
          <w14:ligatures w14:val="none"/>
        </w:rPr>
        <w:t xml:space="preserve"> </w:t>
      </w:r>
      <w:r w:rsidRPr="004B2123">
        <w:rPr>
          <w:rFonts w:asciiTheme="majorBidi" w:eastAsia="Times New Roman" w:hAnsiTheme="majorBidi" w:cstheme="majorBidi"/>
          <w:color w:val="222222"/>
          <w:kern w:val="0"/>
          <w:sz w:val="24"/>
          <w:szCs w:val="24"/>
          <w14:ligatures w14:val="none"/>
        </w:rPr>
        <w:t>in 1998, and (6)169 rural settlements in 1998 became urban in 2008.</w:t>
      </w:r>
    </w:p>
    <w:p w14:paraId="5BB24E31" w14:textId="77777777" w:rsidR="004B2123" w:rsidRPr="004B2123" w:rsidRDefault="004B2123" w:rsidP="004B2123">
      <w:pPr>
        <w:shd w:val="clear" w:color="auto" w:fill="FFFFFF"/>
        <w:spacing w:after="0" w:line="360" w:lineRule="auto"/>
        <w:ind w:firstLine="480"/>
        <w:rPr>
          <w:rFonts w:asciiTheme="majorBidi" w:eastAsia="Times New Roman" w:hAnsiTheme="majorBidi" w:cstheme="majorBidi"/>
          <w:b/>
          <w:bCs/>
          <w:color w:val="FF0000"/>
          <w:kern w:val="0"/>
          <w:sz w:val="24"/>
          <w:szCs w:val="24"/>
          <w14:ligatures w14:val="none"/>
        </w:rPr>
      </w:pPr>
      <w:r w:rsidRPr="004B2123">
        <w:rPr>
          <w:rFonts w:asciiTheme="majorBidi" w:eastAsia="Times New Roman" w:hAnsiTheme="majorBidi" w:cstheme="majorBidi"/>
          <w:b/>
          <w:bCs/>
          <w:color w:val="222222"/>
          <w:kern w:val="0"/>
          <w:sz w:val="24"/>
          <w:szCs w:val="24"/>
          <w14:ligatures w14:val="none"/>
        </w:rPr>
        <w:t xml:space="preserve">The Algerian urban structure has been enriched by </w:t>
      </w:r>
      <w:r w:rsidRPr="004B2123">
        <w:rPr>
          <w:rFonts w:asciiTheme="majorBidi" w:eastAsia="Times New Roman" w:hAnsiTheme="majorBidi" w:cstheme="majorBidi"/>
          <w:b/>
          <w:bCs/>
          <w:color w:val="FF0000"/>
          <w:kern w:val="0"/>
          <w:sz w:val="24"/>
          <w:szCs w:val="24"/>
          <w14:ligatures w14:val="none"/>
        </w:rPr>
        <w:t>35 large cities (≥100 thousand</w:t>
      </w:r>
    </w:p>
    <w:p w14:paraId="50009BA9" w14:textId="4285C1E9" w:rsidR="004B2123" w:rsidRDefault="004B2123" w:rsidP="004B2123">
      <w:pPr>
        <w:shd w:val="clear" w:color="auto" w:fill="FFFFFF"/>
        <w:spacing w:after="0" w:line="360" w:lineRule="auto"/>
        <w:ind w:firstLine="480"/>
        <w:jc w:val="both"/>
        <w:rPr>
          <w:rFonts w:asciiTheme="majorBidi" w:eastAsia="Times New Roman" w:hAnsiTheme="majorBidi" w:cstheme="majorBidi"/>
          <w:b/>
          <w:bCs/>
          <w:color w:val="222222"/>
          <w:kern w:val="0"/>
          <w:sz w:val="24"/>
          <w:szCs w:val="24"/>
          <w14:ligatures w14:val="none"/>
        </w:rPr>
      </w:pPr>
      <w:r w:rsidRPr="004B2123">
        <w:rPr>
          <w:rFonts w:asciiTheme="majorBidi" w:eastAsia="Times New Roman" w:hAnsiTheme="majorBidi" w:cstheme="majorBidi"/>
          <w:b/>
          <w:bCs/>
          <w:color w:val="FF0000"/>
          <w:kern w:val="0"/>
          <w:sz w:val="24"/>
          <w:szCs w:val="24"/>
          <w14:ligatures w14:val="none"/>
        </w:rPr>
        <w:t>inhabitants)</w:t>
      </w:r>
      <w:r w:rsidRPr="004B2123">
        <w:rPr>
          <w:rFonts w:asciiTheme="majorBidi" w:eastAsia="Times New Roman" w:hAnsiTheme="majorBidi" w:cstheme="majorBidi"/>
          <w:b/>
          <w:bCs/>
          <w:color w:val="222222"/>
          <w:kern w:val="0"/>
          <w:sz w:val="24"/>
          <w:szCs w:val="24"/>
          <w14:ligatures w14:val="none"/>
        </w:rPr>
        <w:t xml:space="preserve">, </w:t>
      </w:r>
      <w:r w:rsidRPr="004B2123">
        <w:rPr>
          <w:rFonts w:asciiTheme="majorBidi" w:eastAsia="Times New Roman" w:hAnsiTheme="majorBidi" w:cstheme="majorBidi"/>
          <w:b/>
          <w:bCs/>
          <w:color w:val="7030A0"/>
          <w:kern w:val="0"/>
          <w:sz w:val="24"/>
          <w:szCs w:val="24"/>
          <w14:ligatures w14:val="none"/>
        </w:rPr>
        <w:t xml:space="preserve">42 medium-sized towns (between 50,000 and 100,000 inhabitants), </w:t>
      </w:r>
      <w:r w:rsidRPr="004B2123">
        <w:rPr>
          <w:rFonts w:asciiTheme="majorBidi" w:eastAsia="Times New Roman" w:hAnsiTheme="majorBidi" w:cstheme="majorBidi"/>
          <w:b/>
          <w:bCs/>
          <w:color w:val="00B0F0"/>
          <w:kern w:val="0"/>
          <w:sz w:val="24"/>
          <w:szCs w:val="24"/>
          <w14:ligatures w14:val="none"/>
        </w:rPr>
        <w:t xml:space="preserve">121 </w:t>
      </w:r>
      <w:proofErr w:type="spellStart"/>
      <w:proofErr w:type="gramStart"/>
      <w:r w:rsidRPr="004B2123">
        <w:rPr>
          <w:rFonts w:asciiTheme="majorBidi" w:eastAsia="Times New Roman" w:hAnsiTheme="majorBidi" w:cstheme="majorBidi"/>
          <w:b/>
          <w:bCs/>
          <w:color w:val="00B0F0"/>
          <w:kern w:val="0"/>
          <w:sz w:val="24"/>
          <w:szCs w:val="24"/>
          <w14:ligatures w14:val="none"/>
        </w:rPr>
        <w:t>smalltowns</w:t>
      </w:r>
      <w:proofErr w:type="spellEnd"/>
      <w:proofErr w:type="gramEnd"/>
      <w:r w:rsidRPr="004B2123">
        <w:rPr>
          <w:rFonts w:asciiTheme="majorBidi" w:eastAsia="Times New Roman" w:hAnsiTheme="majorBidi" w:cstheme="majorBidi"/>
          <w:b/>
          <w:bCs/>
          <w:color w:val="00B0F0"/>
          <w:kern w:val="0"/>
          <w:sz w:val="24"/>
          <w:szCs w:val="24"/>
          <w14:ligatures w14:val="none"/>
        </w:rPr>
        <w:t xml:space="preserve"> (between 20,000 and 50,000 inhabitants) </w:t>
      </w:r>
      <w:r w:rsidRPr="004B2123">
        <w:rPr>
          <w:rFonts w:asciiTheme="majorBidi" w:eastAsia="Times New Roman" w:hAnsiTheme="majorBidi" w:cstheme="majorBidi"/>
          <w:b/>
          <w:bCs/>
          <w:color w:val="222222"/>
          <w:kern w:val="0"/>
          <w:sz w:val="24"/>
          <w:szCs w:val="24"/>
          <w14:ligatures w14:val="none"/>
        </w:rPr>
        <w:t xml:space="preserve">and </w:t>
      </w:r>
      <w:r w:rsidRPr="004B2123">
        <w:rPr>
          <w:rFonts w:asciiTheme="majorBidi" w:eastAsia="Times New Roman" w:hAnsiTheme="majorBidi" w:cstheme="majorBidi"/>
          <w:b/>
          <w:bCs/>
          <w:color w:val="00B050"/>
          <w:kern w:val="0"/>
          <w:sz w:val="24"/>
          <w:szCs w:val="24"/>
          <w14:ligatures w14:val="none"/>
        </w:rPr>
        <w:t xml:space="preserve">464 urban settlements (between 5,000and 50,000 inhabitants). </w:t>
      </w:r>
      <w:r w:rsidRPr="004B2123">
        <w:rPr>
          <w:rFonts w:asciiTheme="majorBidi" w:eastAsia="Times New Roman" w:hAnsiTheme="majorBidi" w:cstheme="majorBidi"/>
          <w:b/>
          <w:bCs/>
          <w:color w:val="222222"/>
          <w:kern w:val="0"/>
          <w:sz w:val="24"/>
          <w:szCs w:val="24"/>
          <w14:ligatures w14:val="none"/>
        </w:rPr>
        <w:t>These data confirm that the originality of the Algerian urban</w:t>
      </w:r>
      <w:r>
        <w:rPr>
          <w:rFonts w:asciiTheme="majorBidi" w:eastAsia="Times New Roman" w:hAnsiTheme="majorBidi" w:cstheme="majorBidi"/>
          <w:b/>
          <w:bCs/>
          <w:color w:val="222222"/>
          <w:kern w:val="0"/>
          <w:sz w:val="24"/>
          <w:szCs w:val="24"/>
          <w14:ligatures w14:val="none"/>
        </w:rPr>
        <w:t xml:space="preserve"> </w:t>
      </w:r>
      <w:r w:rsidRPr="004B2123">
        <w:rPr>
          <w:rFonts w:asciiTheme="majorBidi" w:eastAsia="Times New Roman" w:hAnsiTheme="majorBidi" w:cstheme="majorBidi"/>
          <w:b/>
          <w:bCs/>
          <w:color w:val="222222"/>
          <w:kern w:val="0"/>
          <w:sz w:val="24"/>
          <w:szCs w:val="24"/>
          <w14:ligatures w14:val="none"/>
        </w:rPr>
        <w:t>network lies in the predominant place occupied by small towns. In 2008, small towns</w:t>
      </w:r>
      <w:r>
        <w:rPr>
          <w:rFonts w:asciiTheme="majorBidi" w:eastAsia="Times New Roman" w:hAnsiTheme="majorBidi" w:cstheme="majorBidi"/>
          <w:b/>
          <w:bCs/>
          <w:color w:val="222222"/>
          <w:kern w:val="0"/>
          <w:sz w:val="24"/>
          <w:szCs w:val="24"/>
          <w14:ligatures w14:val="none"/>
        </w:rPr>
        <w:t xml:space="preserve"> </w:t>
      </w:r>
      <w:r w:rsidRPr="004B2123">
        <w:rPr>
          <w:rFonts w:asciiTheme="majorBidi" w:eastAsia="Times New Roman" w:hAnsiTheme="majorBidi" w:cstheme="majorBidi"/>
          <w:b/>
          <w:bCs/>
          <w:color w:val="222222"/>
          <w:kern w:val="0"/>
          <w:sz w:val="24"/>
          <w:szCs w:val="24"/>
          <w14:ligatures w14:val="none"/>
        </w:rPr>
        <w:t>accounted for more than 80% of the urban frame compared with 72.93% in 1987 and70.61% in 1977. Thus, the emergence of small towns (by transition from rural to urban) is</w:t>
      </w:r>
      <w:r>
        <w:rPr>
          <w:rFonts w:asciiTheme="majorBidi" w:eastAsia="Times New Roman" w:hAnsiTheme="majorBidi" w:cstheme="majorBidi"/>
          <w:b/>
          <w:bCs/>
          <w:color w:val="222222"/>
          <w:kern w:val="0"/>
          <w:sz w:val="24"/>
          <w:szCs w:val="24"/>
          <w14:ligatures w14:val="none"/>
        </w:rPr>
        <w:t xml:space="preserve"> </w:t>
      </w:r>
      <w:r w:rsidRPr="004B2123">
        <w:rPr>
          <w:rFonts w:asciiTheme="majorBidi" w:eastAsia="Times New Roman" w:hAnsiTheme="majorBidi" w:cstheme="majorBidi"/>
          <w:b/>
          <w:bCs/>
          <w:color w:val="222222"/>
          <w:kern w:val="0"/>
          <w:sz w:val="24"/>
          <w:szCs w:val="24"/>
          <w14:ligatures w14:val="none"/>
        </w:rPr>
        <w:t>an important component of urban growth in Algeria.</w:t>
      </w:r>
    </w:p>
    <w:p w14:paraId="4698617F" w14:textId="77777777" w:rsidR="004B2123" w:rsidRPr="004B2123" w:rsidRDefault="004B2123" w:rsidP="004B2123">
      <w:pPr>
        <w:shd w:val="clear" w:color="auto" w:fill="FFFFFF"/>
        <w:spacing w:after="0" w:line="360" w:lineRule="auto"/>
        <w:ind w:firstLine="480"/>
        <w:jc w:val="both"/>
        <w:rPr>
          <w:rFonts w:asciiTheme="majorBidi" w:eastAsia="Times New Roman" w:hAnsiTheme="majorBidi" w:cstheme="majorBidi"/>
          <w:b/>
          <w:bCs/>
          <w:color w:val="222222"/>
          <w:kern w:val="0"/>
          <w:sz w:val="24"/>
          <w:szCs w:val="24"/>
          <w14:ligatures w14:val="none"/>
        </w:rPr>
      </w:pPr>
    </w:p>
    <w:p w14:paraId="29A9A05F" w14:textId="77777777" w:rsidR="00E15C6F" w:rsidRPr="00E15C6F" w:rsidRDefault="00E15C6F" w:rsidP="00E15C6F">
      <w:pPr>
        <w:shd w:val="clear" w:color="auto" w:fill="FFFFFF"/>
        <w:spacing w:before="120" w:after="120" w:line="240" w:lineRule="auto"/>
        <w:jc w:val="both"/>
        <w:outlineLvl w:val="3"/>
        <w:rPr>
          <w:rFonts w:asciiTheme="majorBidi" w:eastAsia="Times New Roman" w:hAnsiTheme="majorBidi" w:cstheme="majorBidi"/>
          <w:b/>
          <w:bCs/>
          <w:color w:val="000000"/>
          <w:kern w:val="0"/>
          <w:sz w:val="24"/>
          <w:szCs w:val="24"/>
          <w14:ligatures w14:val="none"/>
        </w:rPr>
      </w:pPr>
      <w:r w:rsidRPr="00E15C6F">
        <w:rPr>
          <w:rFonts w:asciiTheme="majorBidi" w:eastAsia="Times New Roman" w:hAnsiTheme="majorBidi" w:cstheme="majorBidi"/>
          <w:b/>
          <w:bCs/>
          <w:color w:val="000000"/>
          <w:kern w:val="0"/>
          <w:sz w:val="24"/>
          <w:szCs w:val="24"/>
          <w14:ligatures w14:val="none"/>
        </w:rPr>
        <w:t>The Recent Urban Network of Algeria</w:t>
      </w:r>
    </w:p>
    <w:p w14:paraId="445A14B6" w14:textId="6DE7B4F7" w:rsidR="00E15C6F" w:rsidRDefault="00E15C6F" w:rsidP="00E15C6F">
      <w:pPr>
        <w:shd w:val="clear" w:color="auto" w:fill="FFFFFF"/>
        <w:spacing w:after="0" w:line="360" w:lineRule="auto"/>
        <w:ind w:firstLine="480"/>
        <w:jc w:val="both"/>
        <w:rPr>
          <w:rFonts w:asciiTheme="majorBidi" w:eastAsia="Times New Roman" w:hAnsiTheme="majorBidi" w:cstheme="majorBidi"/>
          <w:color w:val="222222"/>
          <w:kern w:val="0"/>
          <w:sz w:val="24"/>
          <w:szCs w:val="24"/>
          <w14:ligatures w14:val="none"/>
        </w:rPr>
      </w:pPr>
      <w:r w:rsidRPr="00E15C6F">
        <w:rPr>
          <w:rFonts w:asciiTheme="majorBidi" w:eastAsia="Times New Roman" w:hAnsiTheme="majorBidi" w:cstheme="majorBidi"/>
          <w:color w:val="222222"/>
          <w:kern w:val="0"/>
          <w:sz w:val="24"/>
          <w:szCs w:val="24"/>
          <w14:ligatures w14:val="none"/>
        </w:rPr>
        <w:t>As a result of the urban development tendencies above, three distinct urban zones can be identified in contemporary Algeria. The Northern Coastal Zone had a high urban network density and population concentration, while the Highland Zone had a medium-level urban network density and population concentration. The Southern Saharan Zone, on the other hand, had a low urban network density and population concentration. Notably, each zone had a unique region that stands out: the North Centre which includes the capital city of Algiers, the Highland East, which has been the site of significant socio-economic development efforts since the war of independe</w:t>
      </w:r>
      <w:r w:rsidR="004B2123">
        <w:rPr>
          <w:rFonts w:asciiTheme="majorBidi" w:eastAsia="Times New Roman" w:hAnsiTheme="majorBidi" w:cstheme="majorBidi"/>
          <w:color w:val="222222"/>
          <w:kern w:val="0"/>
          <w:sz w:val="24"/>
          <w:szCs w:val="24"/>
          <w14:ligatures w14:val="none"/>
        </w:rPr>
        <w:t>nce</w:t>
      </w:r>
      <w:r w:rsidRPr="00E15C6F">
        <w:rPr>
          <w:rFonts w:asciiTheme="majorBidi" w:eastAsia="Times New Roman" w:hAnsiTheme="majorBidi" w:cstheme="majorBidi"/>
          <w:color w:val="222222"/>
          <w:kern w:val="0"/>
          <w:sz w:val="24"/>
          <w:szCs w:val="24"/>
          <w14:ligatures w14:val="none"/>
        </w:rPr>
        <w:t xml:space="preserve">, and the </w:t>
      </w:r>
      <w:r w:rsidR="004B2123" w:rsidRPr="00E15C6F">
        <w:rPr>
          <w:rFonts w:asciiTheme="majorBidi" w:eastAsia="Times New Roman" w:hAnsiTheme="majorBidi" w:cstheme="majorBidi"/>
          <w:color w:val="222222"/>
          <w:kern w:val="0"/>
          <w:sz w:val="24"/>
          <w:szCs w:val="24"/>
          <w14:ligatures w14:val="none"/>
        </w:rPr>
        <w:t>Southeast</w:t>
      </w:r>
      <w:r w:rsidRPr="00E15C6F">
        <w:rPr>
          <w:rFonts w:asciiTheme="majorBidi" w:eastAsia="Times New Roman" w:hAnsiTheme="majorBidi" w:cstheme="majorBidi"/>
          <w:color w:val="222222"/>
          <w:kern w:val="0"/>
          <w:sz w:val="24"/>
          <w:szCs w:val="24"/>
          <w14:ligatures w14:val="none"/>
        </w:rPr>
        <w:t>, where urbanization is closely linked to the growth of the oil and gas industry.</w:t>
      </w:r>
    </w:p>
    <w:p w14:paraId="6B7A1754" w14:textId="0B134C39" w:rsidR="00E15C6F" w:rsidRPr="00E15C6F" w:rsidRDefault="00E15C6F" w:rsidP="00E15C6F">
      <w:pPr>
        <w:shd w:val="clear" w:color="auto" w:fill="FFFFFF"/>
        <w:spacing w:after="0" w:line="360" w:lineRule="auto"/>
        <w:ind w:firstLine="480"/>
        <w:jc w:val="both"/>
        <w:rPr>
          <w:rFonts w:asciiTheme="majorBidi" w:eastAsia="Times New Roman" w:hAnsiTheme="majorBidi" w:cstheme="majorBidi"/>
          <w:color w:val="222222"/>
          <w:kern w:val="0"/>
          <w:sz w:val="24"/>
          <w:szCs w:val="24"/>
          <w14:ligatures w14:val="none"/>
        </w:rPr>
      </w:pPr>
      <w:r w:rsidRPr="00E15C6F">
        <w:rPr>
          <w:rFonts w:asciiTheme="majorBidi" w:eastAsia="Times New Roman" w:hAnsiTheme="majorBidi" w:cstheme="majorBidi"/>
          <w:color w:val="222222"/>
          <w:kern w:val="0"/>
          <w:sz w:val="24"/>
          <w:szCs w:val="24"/>
          <w14:ligatures w14:val="none"/>
        </w:rPr>
        <w:t xml:space="preserve"> In terms of metropolitan areas, these are only found in the northern regions, with Algiers, Oran, Constantine, and Annaba serving as primary cities. A majority of the large and medium-sized towns are also found in the northern </w:t>
      </w:r>
      <w:r w:rsidR="00651B88" w:rsidRPr="00E15C6F">
        <w:rPr>
          <w:rFonts w:asciiTheme="majorBidi" w:eastAsia="Times New Roman" w:hAnsiTheme="majorBidi" w:cstheme="majorBidi"/>
          <w:color w:val="222222"/>
          <w:kern w:val="0"/>
          <w:sz w:val="24"/>
          <w:szCs w:val="24"/>
          <w14:ligatures w14:val="none"/>
        </w:rPr>
        <w:t>regions.</w:t>
      </w:r>
      <w:r w:rsidRPr="00E15C6F">
        <w:rPr>
          <w:rFonts w:asciiTheme="majorBidi" w:eastAsia="Times New Roman" w:hAnsiTheme="majorBidi" w:cstheme="majorBidi"/>
          <w:color w:val="222222"/>
          <w:kern w:val="0"/>
          <w:sz w:val="24"/>
          <w:szCs w:val="24"/>
          <w14:ligatures w14:val="none"/>
        </w:rPr>
        <w:t xml:space="preserve"> While the population share of large cities was more dominant in certain Highland and Southern regions, the </w:t>
      </w:r>
      <w:proofErr w:type="spellStart"/>
      <w:r w:rsidRPr="00E15C6F">
        <w:rPr>
          <w:rFonts w:asciiTheme="majorBidi" w:eastAsia="Times New Roman" w:hAnsiTheme="majorBidi" w:cstheme="majorBidi"/>
          <w:color w:val="222222"/>
          <w:kern w:val="0"/>
          <w:sz w:val="24"/>
          <w:szCs w:val="24"/>
          <w14:ligatures w14:val="none"/>
        </w:rPr>
        <w:t>Hoggar</w:t>
      </w:r>
      <w:proofErr w:type="spellEnd"/>
      <w:r w:rsidRPr="00E15C6F">
        <w:rPr>
          <w:rFonts w:asciiTheme="majorBidi" w:eastAsia="Times New Roman" w:hAnsiTheme="majorBidi" w:cstheme="majorBidi"/>
          <w:color w:val="222222"/>
          <w:kern w:val="0"/>
          <w:sz w:val="24"/>
          <w:szCs w:val="24"/>
          <w14:ligatures w14:val="none"/>
        </w:rPr>
        <w:t xml:space="preserve"> </w:t>
      </w:r>
      <w:proofErr w:type="spellStart"/>
      <w:r w:rsidRPr="00E15C6F">
        <w:rPr>
          <w:rFonts w:asciiTheme="majorBidi" w:eastAsia="Times New Roman" w:hAnsiTheme="majorBidi" w:cstheme="majorBidi"/>
          <w:color w:val="222222"/>
          <w:kern w:val="0"/>
          <w:sz w:val="24"/>
          <w:szCs w:val="24"/>
          <w14:ligatures w14:val="none"/>
        </w:rPr>
        <w:t>Tassili</w:t>
      </w:r>
      <w:proofErr w:type="spellEnd"/>
      <w:r w:rsidRPr="00E15C6F">
        <w:rPr>
          <w:rFonts w:asciiTheme="majorBidi" w:eastAsia="Times New Roman" w:hAnsiTheme="majorBidi" w:cstheme="majorBidi"/>
          <w:color w:val="222222"/>
          <w:kern w:val="0"/>
          <w:sz w:val="24"/>
          <w:szCs w:val="24"/>
          <w14:ligatures w14:val="none"/>
        </w:rPr>
        <w:t xml:space="preserve"> region in the center of the </w:t>
      </w:r>
      <w:r w:rsidR="00651B88" w:rsidRPr="00E15C6F">
        <w:rPr>
          <w:rFonts w:asciiTheme="majorBidi" w:eastAsia="Times New Roman" w:hAnsiTheme="majorBidi" w:cstheme="majorBidi"/>
          <w:color w:val="222222"/>
          <w:kern w:val="0"/>
          <w:sz w:val="24"/>
          <w:szCs w:val="24"/>
          <w14:ligatures w14:val="none"/>
        </w:rPr>
        <w:t>Sahara Desert</w:t>
      </w:r>
      <w:r w:rsidRPr="00E15C6F">
        <w:rPr>
          <w:rFonts w:asciiTheme="majorBidi" w:eastAsia="Times New Roman" w:hAnsiTheme="majorBidi" w:cstheme="majorBidi"/>
          <w:color w:val="222222"/>
          <w:kern w:val="0"/>
          <w:sz w:val="24"/>
          <w:szCs w:val="24"/>
          <w14:ligatures w14:val="none"/>
        </w:rPr>
        <w:t xml:space="preserve"> has no metropoles or large cities, and its primary city is a medium-sized town, Tamanrasset, which is home to more than 50% of the regional urban population. Interestingly, there have been no changes in the primary city status of these regions between 1987 and 2008, indicating the conservative character of the urban network.</w:t>
      </w:r>
    </w:p>
    <w:p w14:paraId="1C5CD7DF" w14:textId="499574E0" w:rsidR="001D7B6E" w:rsidRPr="001D7B6E" w:rsidRDefault="001D7B6E" w:rsidP="00E15C6F">
      <w:pPr>
        <w:shd w:val="clear" w:color="auto" w:fill="FFFFFF"/>
        <w:spacing w:after="0" w:line="360" w:lineRule="auto"/>
        <w:jc w:val="both"/>
        <w:rPr>
          <w:rFonts w:asciiTheme="majorBidi" w:eastAsia="Times New Roman" w:hAnsiTheme="majorBidi" w:cstheme="majorBidi"/>
          <w:color w:val="222222"/>
          <w:kern w:val="0"/>
          <w:sz w:val="24"/>
          <w:szCs w:val="24"/>
          <w14:ligatures w14:val="none"/>
        </w:rPr>
      </w:pPr>
      <w:r w:rsidRPr="001D7B6E">
        <w:rPr>
          <w:rFonts w:asciiTheme="majorBidi" w:eastAsia="Times New Roman" w:hAnsiTheme="majorBidi" w:cstheme="majorBidi"/>
          <w:color w:val="222222"/>
          <w:kern w:val="0"/>
          <w:sz w:val="24"/>
          <w:szCs w:val="24"/>
          <w14:ligatures w14:val="none"/>
        </w:rPr>
        <w:lastRenderedPageBreak/>
        <w:t>.</w:t>
      </w:r>
    </w:p>
    <w:p w14:paraId="14741C57" w14:textId="5B87542B" w:rsidR="001D7B6E" w:rsidRPr="001D7B6E" w:rsidRDefault="00E15C6F" w:rsidP="001D7B6E">
      <w:pPr>
        <w:spacing w:line="360" w:lineRule="auto"/>
        <w:jc w:val="both"/>
        <w:rPr>
          <w:rFonts w:asciiTheme="majorBidi" w:hAnsiTheme="majorBidi" w:cstheme="majorBidi"/>
          <w:sz w:val="24"/>
          <w:szCs w:val="24"/>
        </w:rPr>
      </w:pPr>
      <w:r>
        <w:rPr>
          <w:noProof/>
        </w:rPr>
        <w:drawing>
          <wp:inline distT="0" distB="0" distL="0" distR="0" wp14:anchorId="07E2B745" wp14:editId="0ADCB2CA">
            <wp:extent cx="6858000" cy="4761230"/>
            <wp:effectExtent l="0" t="0" r="0" b="1270"/>
            <wp:docPr id="67215278" name="Picture 1" descr="A map of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15278" name="Picture 1" descr="A map of different colored circle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4761230"/>
                    </a:xfrm>
                    <a:prstGeom prst="rect">
                      <a:avLst/>
                    </a:prstGeom>
                    <a:noFill/>
                    <a:ln>
                      <a:noFill/>
                    </a:ln>
                  </pic:spPr>
                </pic:pic>
              </a:graphicData>
            </a:graphic>
          </wp:inline>
        </w:drawing>
      </w:r>
    </w:p>
    <w:p w14:paraId="20726419" w14:textId="68AA82CE" w:rsidR="007A5A28" w:rsidRPr="0010614C" w:rsidRDefault="007A5A28" w:rsidP="007A5A28">
      <w:pPr>
        <w:spacing w:line="360" w:lineRule="auto"/>
        <w:jc w:val="both"/>
        <w:rPr>
          <w:rFonts w:asciiTheme="majorBidi" w:hAnsiTheme="majorBidi" w:cstheme="majorBidi"/>
          <w:sz w:val="24"/>
          <w:szCs w:val="24"/>
        </w:rPr>
      </w:pPr>
    </w:p>
    <w:sectPr w:rsidR="007A5A28" w:rsidRPr="0010614C" w:rsidSect="0010614C">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AAFC2" w14:textId="77777777" w:rsidR="004B2123" w:rsidRDefault="004B2123" w:rsidP="004B2123">
      <w:pPr>
        <w:spacing w:after="0" w:line="240" w:lineRule="auto"/>
      </w:pPr>
      <w:r>
        <w:separator/>
      </w:r>
    </w:p>
  </w:endnote>
  <w:endnote w:type="continuationSeparator" w:id="0">
    <w:p w14:paraId="25036970" w14:textId="77777777" w:rsidR="004B2123" w:rsidRDefault="004B2123" w:rsidP="004B2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020800"/>
      <w:docPartObj>
        <w:docPartGallery w:val="Page Numbers (Bottom of Page)"/>
        <w:docPartUnique/>
      </w:docPartObj>
    </w:sdtPr>
    <w:sdtEndPr>
      <w:rPr>
        <w:noProof/>
      </w:rPr>
    </w:sdtEndPr>
    <w:sdtContent>
      <w:p w14:paraId="233283DA" w14:textId="6539E803" w:rsidR="004B2123" w:rsidRDefault="004B212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0142B8" w14:textId="77777777" w:rsidR="004B2123" w:rsidRDefault="004B21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20AB5" w14:textId="77777777" w:rsidR="004B2123" w:rsidRDefault="004B2123" w:rsidP="004B2123">
      <w:pPr>
        <w:spacing w:after="0" w:line="240" w:lineRule="auto"/>
      </w:pPr>
      <w:r>
        <w:separator/>
      </w:r>
    </w:p>
  </w:footnote>
  <w:footnote w:type="continuationSeparator" w:id="0">
    <w:p w14:paraId="71F8CA73" w14:textId="77777777" w:rsidR="004B2123" w:rsidRDefault="004B2123" w:rsidP="004B212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14C"/>
    <w:rsid w:val="0010614C"/>
    <w:rsid w:val="001D7B6E"/>
    <w:rsid w:val="0030049B"/>
    <w:rsid w:val="00300ED4"/>
    <w:rsid w:val="004B2123"/>
    <w:rsid w:val="00602977"/>
    <w:rsid w:val="00651B88"/>
    <w:rsid w:val="007A5A28"/>
    <w:rsid w:val="00AC1067"/>
    <w:rsid w:val="00B846D4"/>
    <w:rsid w:val="00CB2229"/>
    <w:rsid w:val="00DA2163"/>
    <w:rsid w:val="00DF7DEE"/>
    <w:rsid w:val="00E15C6F"/>
    <w:rsid w:val="00FE75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E1E3A"/>
  <w15:chartTrackingRefBased/>
  <w15:docId w15:val="{41448E61-B483-468E-9C90-E6C2EAA27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2123"/>
  </w:style>
  <w:style w:type="paragraph" w:styleId="Heading1">
    <w:name w:val="heading 1"/>
    <w:basedOn w:val="Normal"/>
    <w:next w:val="Normal"/>
    <w:link w:val="Heading1Char"/>
    <w:uiPriority w:val="9"/>
    <w:qFormat/>
    <w:rsid w:val="001061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061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0614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061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61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61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61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61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61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614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0614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061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061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061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061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61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61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614C"/>
    <w:rPr>
      <w:rFonts w:eastAsiaTheme="majorEastAsia" w:cstheme="majorBidi"/>
      <w:color w:val="272727" w:themeColor="text1" w:themeTint="D8"/>
    </w:rPr>
  </w:style>
  <w:style w:type="paragraph" w:styleId="Title">
    <w:name w:val="Title"/>
    <w:basedOn w:val="Normal"/>
    <w:next w:val="Normal"/>
    <w:link w:val="TitleChar"/>
    <w:uiPriority w:val="10"/>
    <w:qFormat/>
    <w:rsid w:val="001061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61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614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61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614C"/>
    <w:pPr>
      <w:spacing w:before="160"/>
      <w:jc w:val="center"/>
    </w:pPr>
    <w:rPr>
      <w:i/>
      <w:iCs/>
      <w:color w:val="404040" w:themeColor="text1" w:themeTint="BF"/>
    </w:rPr>
  </w:style>
  <w:style w:type="character" w:customStyle="1" w:styleId="QuoteChar">
    <w:name w:val="Quote Char"/>
    <w:basedOn w:val="DefaultParagraphFont"/>
    <w:link w:val="Quote"/>
    <w:uiPriority w:val="29"/>
    <w:rsid w:val="0010614C"/>
    <w:rPr>
      <w:i/>
      <w:iCs/>
      <w:color w:val="404040" w:themeColor="text1" w:themeTint="BF"/>
    </w:rPr>
  </w:style>
  <w:style w:type="paragraph" w:styleId="ListParagraph">
    <w:name w:val="List Paragraph"/>
    <w:basedOn w:val="Normal"/>
    <w:uiPriority w:val="34"/>
    <w:qFormat/>
    <w:rsid w:val="0010614C"/>
    <w:pPr>
      <w:ind w:left="720"/>
      <w:contextualSpacing/>
    </w:pPr>
  </w:style>
  <w:style w:type="character" w:styleId="IntenseEmphasis">
    <w:name w:val="Intense Emphasis"/>
    <w:basedOn w:val="DefaultParagraphFont"/>
    <w:uiPriority w:val="21"/>
    <w:qFormat/>
    <w:rsid w:val="0010614C"/>
    <w:rPr>
      <w:i/>
      <w:iCs/>
      <w:color w:val="0F4761" w:themeColor="accent1" w:themeShade="BF"/>
    </w:rPr>
  </w:style>
  <w:style w:type="paragraph" w:styleId="IntenseQuote">
    <w:name w:val="Intense Quote"/>
    <w:basedOn w:val="Normal"/>
    <w:next w:val="Normal"/>
    <w:link w:val="IntenseQuoteChar"/>
    <w:uiPriority w:val="30"/>
    <w:qFormat/>
    <w:rsid w:val="001061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614C"/>
    <w:rPr>
      <w:i/>
      <w:iCs/>
      <w:color w:val="0F4761" w:themeColor="accent1" w:themeShade="BF"/>
    </w:rPr>
  </w:style>
  <w:style w:type="character" w:styleId="IntenseReference">
    <w:name w:val="Intense Reference"/>
    <w:basedOn w:val="DefaultParagraphFont"/>
    <w:uiPriority w:val="32"/>
    <w:qFormat/>
    <w:rsid w:val="0010614C"/>
    <w:rPr>
      <w:b/>
      <w:bCs/>
      <w:smallCaps/>
      <w:color w:val="0F4761" w:themeColor="accent1" w:themeShade="BF"/>
      <w:spacing w:val="5"/>
    </w:rPr>
  </w:style>
  <w:style w:type="character" w:styleId="Hyperlink">
    <w:name w:val="Hyperlink"/>
    <w:basedOn w:val="DefaultParagraphFont"/>
    <w:uiPriority w:val="99"/>
    <w:semiHidden/>
    <w:unhideWhenUsed/>
    <w:rsid w:val="00300ED4"/>
    <w:rPr>
      <w:color w:val="0000FF"/>
      <w:u w:val="single"/>
    </w:rPr>
  </w:style>
  <w:style w:type="character" w:customStyle="1" w:styleId="html-italic">
    <w:name w:val="html-italic"/>
    <w:basedOn w:val="DefaultParagraphFont"/>
    <w:rsid w:val="00FE75C3"/>
  </w:style>
  <w:style w:type="paragraph" w:styleId="Header">
    <w:name w:val="header"/>
    <w:basedOn w:val="Normal"/>
    <w:link w:val="HeaderChar"/>
    <w:uiPriority w:val="99"/>
    <w:unhideWhenUsed/>
    <w:rsid w:val="004B21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2123"/>
  </w:style>
  <w:style w:type="paragraph" w:styleId="Footer">
    <w:name w:val="footer"/>
    <w:basedOn w:val="Normal"/>
    <w:link w:val="FooterChar"/>
    <w:uiPriority w:val="99"/>
    <w:unhideWhenUsed/>
    <w:rsid w:val="004B21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1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207172">
      <w:bodyDiv w:val="1"/>
      <w:marLeft w:val="0"/>
      <w:marRight w:val="0"/>
      <w:marTop w:val="0"/>
      <w:marBottom w:val="0"/>
      <w:divBdr>
        <w:top w:val="none" w:sz="0" w:space="0" w:color="auto"/>
        <w:left w:val="none" w:sz="0" w:space="0" w:color="auto"/>
        <w:bottom w:val="none" w:sz="0" w:space="0" w:color="auto"/>
        <w:right w:val="none" w:sz="0" w:space="0" w:color="auto"/>
      </w:divBdr>
      <w:divsChild>
        <w:div w:id="1449003820">
          <w:marLeft w:val="0"/>
          <w:marRight w:val="0"/>
          <w:marTop w:val="0"/>
          <w:marBottom w:val="0"/>
          <w:divBdr>
            <w:top w:val="none" w:sz="0" w:space="0" w:color="auto"/>
            <w:left w:val="none" w:sz="0" w:space="0" w:color="auto"/>
            <w:bottom w:val="none" w:sz="0" w:space="0" w:color="auto"/>
            <w:right w:val="none" w:sz="0" w:space="0" w:color="auto"/>
          </w:divBdr>
        </w:div>
        <w:div w:id="434710518">
          <w:marLeft w:val="0"/>
          <w:marRight w:val="0"/>
          <w:marTop w:val="0"/>
          <w:marBottom w:val="0"/>
          <w:divBdr>
            <w:top w:val="none" w:sz="0" w:space="0" w:color="auto"/>
            <w:left w:val="none" w:sz="0" w:space="0" w:color="auto"/>
            <w:bottom w:val="none" w:sz="0" w:space="0" w:color="auto"/>
            <w:right w:val="none" w:sz="0" w:space="0" w:color="auto"/>
          </w:divBdr>
        </w:div>
      </w:divsChild>
    </w:div>
    <w:div w:id="824931714">
      <w:bodyDiv w:val="1"/>
      <w:marLeft w:val="0"/>
      <w:marRight w:val="0"/>
      <w:marTop w:val="0"/>
      <w:marBottom w:val="0"/>
      <w:divBdr>
        <w:top w:val="none" w:sz="0" w:space="0" w:color="auto"/>
        <w:left w:val="none" w:sz="0" w:space="0" w:color="auto"/>
        <w:bottom w:val="none" w:sz="0" w:space="0" w:color="auto"/>
        <w:right w:val="none" w:sz="0" w:space="0" w:color="auto"/>
      </w:divBdr>
    </w:div>
    <w:div w:id="906959676">
      <w:bodyDiv w:val="1"/>
      <w:marLeft w:val="0"/>
      <w:marRight w:val="0"/>
      <w:marTop w:val="0"/>
      <w:marBottom w:val="0"/>
      <w:divBdr>
        <w:top w:val="none" w:sz="0" w:space="0" w:color="auto"/>
        <w:left w:val="none" w:sz="0" w:space="0" w:color="auto"/>
        <w:bottom w:val="none" w:sz="0" w:space="0" w:color="auto"/>
        <w:right w:val="none" w:sz="0" w:space="0" w:color="auto"/>
      </w:divBdr>
      <w:divsChild>
        <w:div w:id="665519054">
          <w:marLeft w:val="0"/>
          <w:marRight w:val="0"/>
          <w:marTop w:val="0"/>
          <w:marBottom w:val="0"/>
          <w:divBdr>
            <w:top w:val="none" w:sz="0" w:space="0" w:color="auto"/>
            <w:left w:val="none" w:sz="0" w:space="0" w:color="auto"/>
            <w:bottom w:val="none" w:sz="0" w:space="0" w:color="auto"/>
            <w:right w:val="none" w:sz="0" w:space="0" w:color="auto"/>
          </w:divBdr>
        </w:div>
        <w:div w:id="2122797647">
          <w:marLeft w:val="0"/>
          <w:marRight w:val="0"/>
          <w:marTop w:val="0"/>
          <w:marBottom w:val="0"/>
          <w:divBdr>
            <w:top w:val="none" w:sz="0" w:space="0" w:color="auto"/>
            <w:left w:val="none" w:sz="0" w:space="0" w:color="auto"/>
            <w:bottom w:val="none" w:sz="0" w:space="0" w:color="auto"/>
            <w:right w:val="none" w:sz="0" w:space="0" w:color="auto"/>
          </w:divBdr>
        </w:div>
      </w:divsChild>
    </w:div>
    <w:div w:id="1034580609">
      <w:bodyDiv w:val="1"/>
      <w:marLeft w:val="0"/>
      <w:marRight w:val="0"/>
      <w:marTop w:val="0"/>
      <w:marBottom w:val="0"/>
      <w:divBdr>
        <w:top w:val="none" w:sz="0" w:space="0" w:color="auto"/>
        <w:left w:val="none" w:sz="0" w:space="0" w:color="auto"/>
        <w:bottom w:val="none" w:sz="0" w:space="0" w:color="auto"/>
        <w:right w:val="none" w:sz="0" w:space="0" w:color="auto"/>
      </w:divBdr>
    </w:div>
    <w:div w:id="1300453948">
      <w:bodyDiv w:val="1"/>
      <w:marLeft w:val="0"/>
      <w:marRight w:val="0"/>
      <w:marTop w:val="0"/>
      <w:marBottom w:val="0"/>
      <w:divBdr>
        <w:top w:val="none" w:sz="0" w:space="0" w:color="auto"/>
        <w:left w:val="none" w:sz="0" w:space="0" w:color="auto"/>
        <w:bottom w:val="none" w:sz="0" w:space="0" w:color="auto"/>
        <w:right w:val="none" w:sz="0" w:space="0" w:color="auto"/>
      </w:divBdr>
    </w:div>
    <w:div w:id="200535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s://www.mdpi.com/2076-0760/12/3/174"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dpi.com/2076-0760/12/3/174"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5</Pages>
  <Words>1634</Words>
  <Characters>9320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Nassira Guemini</dc:creator>
  <cp:keywords/>
  <dc:description/>
  <cp:lastModifiedBy>Nassira Guemini</cp:lastModifiedBy>
  <cp:revision>1</cp:revision>
  <dcterms:created xsi:type="dcterms:W3CDTF">2024-03-17T18:54:00Z</dcterms:created>
  <dcterms:modified xsi:type="dcterms:W3CDTF">2024-03-17T22:28:00Z</dcterms:modified>
</cp:coreProperties>
</file>