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DEEB" w14:textId="77777777" w:rsidR="00AA7E86" w:rsidRPr="00AA7E86" w:rsidRDefault="00AA7E86" w:rsidP="00AA7E86">
      <w:pPr>
        <w:autoSpaceDE w:val="0"/>
        <w:autoSpaceDN w:val="0"/>
        <w:adjustRightInd w:val="0"/>
        <w:spacing w:after="0" w:line="360" w:lineRule="auto"/>
        <w:jc w:val="center"/>
        <w:rPr>
          <w:rFonts w:ascii="Times New Roman" w:eastAsia="Calibri" w:hAnsi="Times New Roman" w:cs="Times New Roman"/>
          <w:b/>
          <w:bCs/>
          <w:color w:val="000000"/>
          <w:kern w:val="0"/>
          <w:sz w:val="24"/>
          <w:szCs w:val="24"/>
          <w14:ligatures w14:val="none"/>
        </w:rPr>
      </w:pPr>
      <w:r w:rsidRPr="00AA7E86">
        <w:rPr>
          <w:rFonts w:ascii="Times New Roman" w:eastAsia="Calibri" w:hAnsi="Times New Roman" w:cs="Times New Roman"/>
          <w:b/>
          <w:bCs/>
          <w:color w:val="000000"/>
          <w:kern w:val="0"/>
          <w:sz w:val="24"/>
          <w:szCs w:val="24"/>
          <w14:ligatures w14:val="none"/>
        </w:rPr>
        <w:t>INTRODUCTION</w:t>
      </w:r>
    </w:p>
    <w:p w14:paraId="6B13D794" w14:textId="77777777" w:rsidR="00AA7E86" w:rsidRPr="00AA7E86" w:rsidRDefault="00AA7E86" w:rsidP="00AA7E86">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AA7E86">
        <w:rPr>
          <w:rFonts w:ascii="Times New Roman" w:eastAsia="Calibri" w:hAnsi="Times New Roman" w:cs="Times New Roman"/>
          <w:color w:val="000000"/>
          <w:kern w:val="0"/>
          <w:sz w:val="24"/>
          <w:szCs w:val="24"/>
          <w14:ligatures w14:val="none"/>
        </w:rPr>
        <w:t>L'enseignement des langues étrangères a évolué parallèlement avec l’essor des grandes langues de culture, telles que le latin et le grec, adoptées soit par les peuples soumis, soit par les intellectuels désireux de s'imprégner de la culture liée à ces idiomes. Initialement, cet enseignement s'inspirait de celui des langues anciennes, mettant un accent particulier sur la grammaire et la traduction.</w:t>
      </w:r>
    </w:p>
    <w:p w14:paraId="73422C6B" w14:textId="77777777" w:rsidR="00AA7E86" w:rsidRPr="00AA7E86" w:rsidRDefault="00AA7E86" w:rsidP="00AA7E86">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AA7E86">
        <w:rPr>
          <w:rFonts w:ascii="Times New Roman" w:eastAsia="Calibri" w:hAnsi="Times New Roman" w:cs="Times New Roman"/>
          <w:color w:val="000000"/>
          <w:kern w:val="0"/>
          <w:sz w:val="24"/>
          <w:szCs w:val="24"/>
          <w14:ligatures w14:val="none"/>
        </w:rPr>
        <w:t>Au Moyen Âge, l'apprentissage des langues étrangères se maintenait surtout dans des milieux religieux et universitaires. La Renaissance a initié une ère de redécouverte des œuvres classiques, influençant de ce fait les méthodologies d'enseignement linguistique.</w:t>
      </w:r>
    </w:p>
    <w:p w14:paraId="4CAEF530" w14:textId="77777777" w:rsidR="00AA7E86" w:rsidRPr="00AA7E86" w:rsidRDefault="00AA7E86" w:rsidP="00AA7E86">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AA7E86">
        <w:rPr>
          <w:rFonts w:ascii="Times New Roman" w:eastAsia="Calibri" w:hAnsi="Times New Roman" w:cs="Times New Roman"/>
          <w:color w:val="000000"/>
          <w:kern w:val="0"/>
          <w:sz w:val="24"/>
          <w:szCs w:val="24"/>
          <w14:ligatures w14:val="none"/>
        </w:rPr>
        <w:t>Durant l'époque moderne, particulièrement aux XVIIIe et XIXe siècles, l'enseignement grammatical traditionnel et les méthodes axées sur la traduction dominaient encore. Toutefois, des pédagogues novateurs ont remis en question ces techniques, en faveur de démarches plus orientées vers la communication.</w:t>
      </w:r>
    </w:p>
    <w:p w14:paraId="6F011710" w14:textId="77777777" w:rsidR="00AA7E86" w:rsidRPr="00AA7E86" w:rsidRDefault="00AA7E86" w:rsidP="00AA7E86">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AA7E86">
        <w:rPr>
          <w:rFonts w:ascii="Times New Roman" w:eastAsia="Calibri" w:hAnsi="Times New Roman" w:cs="Times New Roman"/>
          <w:color w:val="000000"/>
          <w:kern w:val="0"/>
          <w:sz w:val="24"/>
          <w:szCs w:val="24"/>
          <w14:ligatures w14:val="none"/>
        </w:rPr>
        <w:t>Le XXe siècle a marqué la reconnaissance de l'enseignement des langues étrangères en tant que champ d'étude spécifique. Influencée par les avancées en éducation progressive et en sciences de l'éducation, la méthode directe, qui privilégie l'utilisation de la langue cible sans passer par la traduction, est devenue populaire.</w:t>
      </w:r>
    </w:p>
    <w:p w14:paraId="17DEBED8" w14:textId="77777777" w:rsidR="00AA7E86" w:rsidRPr="00AA7E86" w:rsidRDefault="00AA7E86" w:rsidP="00AA7E86">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AA7E86">
        <w:rPr>
          <w:rFonts w:ascii="Times New Roman" w:eastAsia="Calibri" w:hAnsi="Times New Roman" w:cs="Times New Roman"/>
          <w:color w:val="000000"/>
          <w:kern w:val="0"/>
          <w:sz w:val="24"/>
          <w:szCs w:val="24"/>
          <w14:ligatures w14:val="none"/>
        </w:rPr>
        <w:t xml:space="preserve">De ce fait, les méthodes pédagogiques dans l'enseignement des langues étrangères </w:t>
      </w:r>
      <w:proofErr w:type="gramStart"/>
      <w:r w:rsidRPr="00AA7E86">
        <w:rPr>
          <w:rFonts w:ascii="Times New Roman" w:eastAsia="Calibri" w:hAnsi="Times New Roman" w:cs="Times New Roman"/>
          <w:color w:val="000000"/>
          <w:kern w:val="0"/>
          <w:sz w:val="24"/>
          <w:szCs w:val="24"/>
          <w14:ligatures w14:val="none"/>
        </w:rPr>
        <w:t>a</w:t>
      </w:r>
      <w:proofErr w:type="gramEnd"/>
      <w:r w:rsidRPr="00AA7E86">
        <w:rPr>
          <w:rFonts w:ascii="Times New Roman" w:eastAsia="Calibri" w:hAnsi="Times New Roman" w:cs="Times New Roman"/>
          <w:color w:val="000000"/>
          <w:kern w:val="0"/>
          <w:sz w:val="24"/>
          <w:szCs w:val="24"/>
          <w14:ligatures w14:val="none"/>
        </w:rPr>
        <w:t xml:space="preserve"> continuellement évolué, reflétant ainsi les mutations dans la perception de l'apprentissage de la langue et les visées éducatives. Elle s'est adaptée de manière constante aux exigences des apprenants, dans un contexte mondial en perpétuelle transformation.</w:t>
      </w:r>
    </w:p>
    <w:p w14:paraId="574C2C06" w14:textId="77777777" w:rsidR="00AA7E86" w:rsidRPr="00AA7E86" w:rsidRDefault="00AA7E86" w:rsidP="00AA7E86">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AA7E86">
        <w:rPr>
          <w:rFonts w:ascii="Times New Roman" w:eastAsia="Calibri" w:hAnsi="Times New Roman" w:cs="Times New Roman"/>
          <w:color w:val="000000"/>
          <w:kern w:val="0"/>
          <w:sz w:val="24"/>
          <w:szCs w:val="24"/>
          <w14:ligatures w14:val="none"/>
        </w:rPr>
        <w:t>L'enseignement des langues ne se résume pas uniquement à l'acquisition de connaissances, mais englobe également le développement de compétences pratiques, essentiellement la capacité à communiquer efficacement avec les autres. Cela implique de comprendre et de se faire comprendre par autrui, agissant ainsi au moyen de la langue et à travers elle pour interagir. L'objectif premier de l'enseignement et de l'apprentissage des langues est donc de fournir à l'apprenant les outils nécessaires pour agir au sein de la langue étrangère. Cette finalité soulève la question des contenus d'enseignement, question centrale de la didactique.</w:t>
      </w:r>
    </w:p>
    <w:p w14:paraId="2041CDEE" w14:textId="77777777" w:rsidR="00AA7E86" w:rsidRPr="00AA7E86" w:rsidRDefault="00AA7E86" w:rsidP="00AA7E86">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AA7E86">
        <w:rPr>
          <w:rFonts w:ascii="Times New Roman" w:eastAsia="Calibri" w:hAnsi="Times New Roman" w:cs="Times New Roman"/>
          <w:color w:val="000000"/>
          <w:kern w:val="0"/>
          <w:sz w:val="24"/>
          <w:szCs w:val="24"/>
          <w14:ligatures w14:val="none"/>
        </w:rPr>
        <w:t>Avant de définir précisément la didactique, il est crucial de comprendre les différentes notions englobées par les termes de linguistique appliquée, méthodologie et pédagogie. L'objectif n'est pas de restreindre ces concepts à des définitions rigides, mais plutôt d'explorer et de définir des concepts opérationnels pour mieux circonscrire le domaine d'intervention de la didactique en le différenciant des domaines connexes.</w:t>
      </w:r>
    </w:p>
    <w:p w14:paraId="1785DE95" w14:textId="77777777" w:rsidR="00AA7E86" w:rsidRPr="00AA7E86" w:rsidRDefault="00AA7E86" w:rsidP="00AA7E86">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AA7E86">
        <w:rPr>
          <w:rFonts w:ascii="Times New Roman" w:eastAsia="Calibri" w:hAnsi="Times New Roman" w:cs="Times New Roman"/>
          <w:color w:val="000000"/>
          <w:kern w:val="0"/>
          <w:sz w:val="24"/>
          <w:szCs w:val="24"/>
          <w14:ligatures w14:val="none"/>
        </w:rPr>
        <w:lastRenderedPageBreak/>
        <w:t>Pourquoi alors choisir d'utiliser le terme "didactique" quand existent déjà des termes comme linguistique appliquée, méthodologie et pédagogie ?</w:t>
      </w:r>
    </w:p>
    <w:p w14:paraId="30B08666" w14:textId="77777777" w:rsidR="00397B58" w:rsidRDefault="00397B58"/>
    <w:sectPr w:rsidR="00397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86"/>
    <w:rsid w:val="001300F1"/>
    <w:rsid w:val="00397B58"/>
    <w:rsid w:val="00AA7E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36D0"/>
  <w15:chartTrackingRefBased/>
  <w15:docId w15:val="{93873FC4-7FBD-4527-9605-0A98E9A8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2414</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2024-03-19T05:20:00Z</dcterms:created>
  <dcterms:modified xsi:type="dcterms:W3CDTF">2024-03-19T05:20:00Z</dcterms:modified>
</cp:coreProperties>
</file>