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8540" w14:textId="628FE00D" w:rsidR="002D72EA" w:rsidRDefault="002D72EA" w:rsidP="002D72EA">
      <w:pPr>
        <w:bidi/>
        <w:spacing w:line="360" w:lineRule="auto"/>
        <w:rPr>
          <w:rFonts w:asciiTheme="minorBidi" w:hAnsiTheme="minorBidi"/>
          <w:sz w:val="32"/>
          <w:szCs w:val="32"/>
          <w:rtl/>
        </w:rPr>
      </w:pPr>
      <w:r>
        <w:rPr>
          <w:rFonts w:asciiTheme="minorBidi" w:hAnsiTheme="minorBidi" w:hint="cs"/>
          <w:sz w:val="32"/>
          <w:szCs w:val="32"/>
          <w:rtl/>
        </w:rPr>
        <w:t>موضوع الصفقات العمومية</w:t>
      </w:r>
    </w:p>
    <w:p w14:paraId="70455425" w14:textId="78DB6869"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 xml:space="preserve">الفرع1: الصفقات المتعلقة </w:t>
      </w:r>
      <w:proofErr w:type="spellStart"/>
      <w:r w:rsidRPr="002D72EA">
        <w:rPr>
          <w:rFonts w:asciiTheme="minorBidi" w:hAnsiTheme="minorBidi"/>
          <w:sz w:val="32"/>
          <w:szCs w:val="32"/>
          <w:rtl/>
        </w:rPr>
        <w:t>بانجاز</w:t>
      </w:r>
      <w:proofErr w:type="spellEnd"/>
      <w:r w:rsidRPr="002D72EA">
        <w:rPr>
          <w:rFonts w:asciiTheme="minorBidi" w:hAnsiTheme="minorBidi"/>
          <w:sz w:val="32"/>
          <w:szCs w:val="32"/>
          <w:rtl/>
        </w:rPr>
        <w:t xml:space="preserve"> الأشغال</w:t>
      </w:r>
    </w:p>
    <w:p w14:paraId="552B3AC4" w14:textId="77777777" w:rsidR="002D72EA" w:rsidRDefault="002D72EA" w:rsidP="002D72EA">
      <w:pPr>
        <w:bidi/>
        <w:spacing w:line="360" w:lineRule="auto"/>
        <w:rPr>
          <w:rFonts w:asciiTheme="minorBidi" w:hAnsiTheme="minorBidi"/>
          <w:sz w:val="32"/>
          <w:szCs w:val="32"/>
          <w:rtl/>
        </w:rPr>
      </w:pPr>
      <w:r w:rsidRPr="002D72EA">
        <w:rPr>
          <w:rFonts w:asciiTheme="minorBidi" w:hAnsiTheme="minorBidi"/>
          <w:sz w:val="32"/>
          <w:szCs w:val="32"/>
          <w:rtl/>
        </w:rPr>
        <w:t xml:space="preserve">-هي اتفاق بين المصلحة المتعاقدة أو المتعامل المتعاقد، يهدف إلى </w:t>
      </w:r>
      <w:proofErr w:type="gramStart"/>
      <w:r w:rsidRPr="002D72EA">
        <w:rPr>
          <w:rFonts w:asciiTheme="minorBidi" w:hAnsiTheme="minorBidi"/>
          <w:sz w:val="32"/>
          <w:szCs w:val="32"/>
          <w:rtl/>
        </w:rPr>
        <w:t>بناء</w:t>
      </w:r>
      <w:proofErr w:type="gramEnd"/>
      <w:r w:rsidRPr="002D72EA">
        <w:rPr>
          <w:rFonts w:asciiTheme="minorBidi" w:hAnsiTheme="minorBidi"/>
          <w:sz w:val="32"/>
          <w:szCs w:val="32"/>
          <w:rtl/>
        </w:rPr>
        <w:t xml:space="preserve"> أو تجديد أو صيانة أو تأهيل أو تهيئة أو ترميم أو إصلاح أو تدعيم أو هدم منشاة أو جزء منها بما في ذلك التجهيزات المرتبطة بها والضرورية لاستغلالها. مثل بناء مستشفى، ترميم مدرسة، تجديد شبكة الصرف الصحي</w:t>
      </w:r>
      <w:r>
        <w:rPr>
          <w:rFonts w:asciiTheme="minorBidi" w:hAnsiTheme="minorBidi" w:hint="cs"/>
          <w:sz w:val="32"/>
          <w:szCs w:val="32"/>
          <w:rtl/>
        </w:rPr>
        <w:t>...</w:t>
      </w:r>
    </w:p>
    <w:p w14:paraId="2FB56432" w14:textId="127CB4A8"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 xml:space="preserve"> </w:t>
      </w:r>
      <w:r w:rsidRPr="002D72EA">
        <w:rPr>
          <w:rFonts w:asciiTheme="minorBidi" w:hAnsiTheme="minorBidi"/>
          <w:sz w:val="32"/>
          <w:szCs w:val="32"/>
          <w:rtl/>
        </w:rPr>
        <w:t>الفرع 2: صفقة اقتناء اللوازم (عقد التوريد)</w:t>
      </w:r>
    </w:p>
    <w:p w14:paraId="5CD19200" w14:textId="767A51B5"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هي اتفاق بين المصلحة المتعاقدة والمتعامل المتعاقد يلتزم بموجبه هذا الأخير بتزويد منقولات لازمة لمرفق عام مقابل ثمن.</w:t>
      </w:r>
    </w:p>
    <w:p w14:paraId="6EDB00E9" w14:textId="77777777" w:rsidR="002D72EA" w:rsidRPr="002D72EA" w:rsidRDefault="002D72EA" w:rsidP="002D72EA">
      <w:pPr>
        <w:bidi/>
        <w:spacing w:line="360" w:lineRule="auto"/>
        <w:rPr>
          <w:rFonts w:asciiTheme="minorBidi" w:hAnsiTheme="minorBidi"/>
          <w:sz w:val="32"/>
          <w:szCs w:val="32"/>
        </w:rPr>
      </w:pPr>
      <w:proofErr w:type="gramStart"/>
      <w:r w:rsidRPr="002D72EA">
        <w:rPr>
          <w:rFonts w:asciiTheme="minorBidi" w:hAnsiTheme="minorBidi"/>
          <w:sz w:val="32"/>
          <w:szCs w:val="32"/>
          <w:rtl/>
        </w:rPr>
        <w:t>و تهدف</w:t>
      </w:r>
      <w:proofErr w:type="gramEnd"/>
      <w:r w:rsidRPr="002D72EA">
        <w:rPr>
          <w:rFonts w:asciiTheme="minorBidi" w:hAnsiTheme="minorBidi"/>
          <w:sz w:val="32"/>
          <w:szCs w:val="32"/>
          <w:rtl/>
        </w:rPr>
        <w:t xml:space="preserve"> الصفقة العمومية إلى اقتناء عتاد أو مواد مهما كان شكلها موجهة لتلبية الحاجات المتصلة بنشاطها لدى المورد، مثل شراء الأدوية للمستشفيات.</w:t>
      </w:r>
    </w:p>
    <w:p w14:paraId="62BECE99"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ومنه يمكن تحديد مكونات صفقة اقتناء اللوازم في العناصر التالية:</w:t>
      </w:r>
    </w:p>
    <w:p w14:paraId="4D08A969"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*أن يشمل عقد اقتناء اللوازم على المنقولات دون العقارات.</w:t>
      </w:r>
    </w:p>
    <w:p w14:paraId="6057F536"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*أن يلتزم الشخص المتعاقد بتوريد وتسليم اللوازم وفق المواصفات المطلوبة إلى المصلحة المتعاقدة في الآجال القانونية وطبعا للمواصفات المحددة.</w:t>
      </w:r>
    </w:p>
    <w:p w14:paraId="2967112E"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 xml:space="preserve">الفرع 3: الصفقة المتعلقة </w:t>
      </w:r>
      <w:proofErr w:type="spellStart"/>
      <w:r w:rsidRPr="002D72EA">
        <w:rPr>
          <w:rFonts w:asciiTheme="minorBidi" w:hAnsiTheme="minorBidi"/>
          <w:sz w:val="32"/>
          <w:szCs w:val="32"/>
          <w:rtl/>
        </w:rPr>
        <w:t>بانجاز</w:t>
      </w:r>
      <w:proofErr w:type="spellEnd"/>
      <w:r w:rsidRPr="002D72EA">
        <w:rPr>
          <w:rFonts w:asciiTheme="minorBidi" w:hAnsiTheme="minorBidi"/>
          <w:sz w:val="32"/>
          <w:szCs w:val="32"/>
          <w:rtl/>
        </w:rPr>
        <w:t xml:space="preserve"> الدراسات </w:t>
      </w:r>
    </w:p>
    <w:p w14:paraId="720ACF26" w14:textId="4D9D8B28"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 xml:space="preserve">تعرف بأنها اتفاق بين المصلحة المتعاقدة والمتعامل المتعاقد، يلتزم بمقتضاه المتعامل المتعاقد </w:t>
      </w:r>
      <w:proofErr w:type="spellStart"/>
      <w:r w:rsidRPr="002D72EA">
        <w:rPr>
          <w:rFonts w:asciiTheme="minorBidi" w:hAnsiTheme="minorBidi"/>
          <w:sz w:val="32"/>
          <w:szCs w:val="32"/>
          <w:rtl/>
        </w:rPr>
        <w:t>بانجاز</w:t>
      </w:r>
      <w:proofErr w:type="spellEnd"/>
      <w:r w:rsidRPr="002D72EA">
        <w:rPr>
          <w:rFonts w:asciiTheme="minorBidi" w:hAnsiTheme="minorBidi"/>
          <w:sz w:val="32"/>
          <w:szCs w:val="32"/>
          <w:rtl/>
        </w:rPr>
        <w:t xml:space="preserve"> دراسات محددة في العقد لقاء مقابل أن تلتزم الإدارة بدفعه تحقيقا للمصلحة العامة</w:t>
      </w:r>
    </w:p>
    <w:p w14:paraId="23B9E2E9"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 xml:space="preserve"> مثل متابعة انجاز مباني، دراسة طبوغرافية للأراضي   </w:t>
      </w:r>
    </w:p>
    <w:p w14:paraId="2D42D319"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ومن هذا التفريق يتضح أن صفقات الدراسات تتميز بالخصائص التالية:</w:t>
      </w:r>
    </w:p>
    <w:p w14:paraId="77A92060"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lastRenderedPageBreak/>
        <w:t>*الالتزام بتقديم الخدمات الفكرية.</w:t>
      </w:r>
    </w:p>
    <w:p w14:paraId="2E4BE8DB"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*ألا توجه هذه الدراسات لخدمة مرفق عام.</w:t>
      </w:r>
    </w:p>
    <w:p w14:paraId="3130D547" w14:textId="77777777"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 xml:space="preserve">الفرع 4: الصفقة العمومية المتعلقة بالخدمات </w:t>
      </w:r>
    </w:p>
    <w:p w14:paraId="3972D5B7" w14:textId="2FF067DB" w:rsidR="002D72EA" w:rsidRPr="002D72EA" w:rsidRDefault="002D72EA" w:rsidP="002D72EA">
      <w:pPr>
        <w:bidi/>
        <w:spacing w:line="360" w:lineRule="auto"/>
        <w:rPr>
          <w:rFonts w:asciiTheme="minorBidi" w:hAnsiTheme="minorBidi"/>
          <w:sz w:val="32"/>
          <w:szCs w:val="32"/>
        </w:rPr>
      </w:pPr>
      <w:r w:rsidRPr="002D72EA">
        <w:rPr>
          <w:rFonts w:asciiTheme="minorBidi" w:hAnsiTheme="minorBidi"/>
          <w:sz w:val="32"/>
          <w:szCs w:val="32"/>
          <w:rtl/>
        </w:rPr>
        <w:t xml:space="preserve">هي اتفاق بين المصلحة المتعاقدة والمتعامل المتعاقد معها من اجل تلبية احتياجاتها من الخدمات يتطلبها تسيير المرفق العام في إدارته </w:t>
      </w:r>
    </w:p>
    <w:p w14:paraId="057DADEB" w14:textId="2EC93AA4" w:rsidR="002D72EA" w:rsidRDefault="002D72EA" w:rsidP="002D72EA">
      <w:pPr>
        <w:bidi/>
        <w:spacing w:line="360" w:lineRule="auto"/>
        <w:rPr>
          <w:rFonts w:asciiTheme="minorBidi" w:hAnsiTheme="minorBidi"/>
          <w:sz w:val="32"/>
          <w:szCs w:val="32"/>
          <w:rtl/>
        </w:rPr>
      </w:pPr>
      <w:r w:rsidRPr="002D72EA">
        <w:rPr>
          <w:rFonts w:asciiTheme="minorBidi" w:hAnsiTheme="minorBidi"/>
          <w:sz w:val="32"/>
          <w:szCs w:val="32"/>
          <w:rtl/>
        </w:rPr>
        <w:t>مثل صيانة أجهزة الإعلام الآلي، المراقبة التقنية لعتاد ال</w:t>
      </w:r>
      <w:r>
        <w:rPr>
          <w:rFonts w:asciiTheme="minorBidi" w:hAnsiTheme="minorBidi" w:hint="cs"/>
          <w:sz w:val="32"/>
          <w:szCs w:val="32"/>
          <w:rtl/>
        </w:rPr>
        <w:t>حض</w:t>
      </w:r>
      <w:r w:rsidRPr="002D72EA">
        <w:rPr>
          <w:rFonts w:asciiTheme="minorBidi" w:hAnsiTheme="minorBidi"/>
          <w:sz w:val="32"/>
          <w:szCs w:val="32"/>
          <w:rtl/>
        </w:rPr>
        <w:t>يرة</w:t>
      </w:r>
    </w:p>
    <w:p w14:paraId="7DE9D625" w14:textId="77777777" w:rsidR="002D72EA" w:rsidRDefault="002D72EA" w:rsidP="002D72EA">
      <w:pPr>
        <w:rPr>
          <w:rFonts w:hint="cs"/>
          <w:lang w:bidi="ar-DZ"/>
        </w:rPr>
      </w:pPr>
    </w:p>
    <w:sectPr w:rsidR="002D72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F2E9" w14:textId="77777777" w:rsidR="00DC42D4" w:rsidRDefault="00DC42D4" w:rsidP="002D72EA">
      <w:pPr>
        <w:spacing w:after="0" w:line="240" w:lineRule="auto"/>
      </w:pPr>
      <w:r>
        <w:separator/>
      </w:r>
    </w:p>
  </w:endnote>
  <w:endnote w:type="continuationSeparator" w:id="0">
    <w:p w14:paraId="1C92CC50" w14:textId="77777777" w:rsidR="00DC42D4" w:rsidRDefault="00DC42D4" w:rsidP="002D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D4D2" w14:textId="77777777" w:rsidR="00DC42D4" w:rsidRDefault="00DC42D4" w:rsidP="002D72EA">
      <w:pPr>
        <w:spacing w:after="0" w:line="240" w:lineRule="auto"/>
      </w:pPr>
      <w:r>
        <w:separator/>
      </w:r>
    </w:p>
  </w:footnote>
  <w:footnote w:type="continuationSeparator" w:id="0">
    <w:p w14:paraId="48ECD2E0" w14:textId="77777777" w:rsidR="00DC42D4" w:rsidRDefault="00DC42D4" w:rsidP="002D7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62"/>
    <w:rsid w:val="002D72EA"/>
    <w:rsid w:val="00B75E62"/>
    <w:rsid w:val="00DC42D4"/>
    <w:rsid w:val="00F51E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4B14"/>
  <w15:chartTrackingRefBased/>
  <w15:docId w15:val="{4F993708-4BCA-45D2-8791-B1A4BA16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5E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B75E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B75E6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B75E6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B75E6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B75E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5E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5E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5E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5E6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B75E6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B75E6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B75E6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B75E6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B75E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5E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5E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5E62"/>
    <w:rPr>
      <w:rFonts w:eastAsiaTheme="majorEastAsia" w:cstheme="majorBidi"/>
      <w:color w:val="272727" w:themeColor="text1" w:themeTint="D8"/>
    </w:rPr>
  </w:style>
  <w:style w:type="paragraph" w:styleId="Titre">
    <w:name w:val="Title"/>
    <w:basedOn w:val="Normal"/>
    <w:next w:val="Normal"/>
    <w:link w:val="TitreCar"/>
    <w:uiPriority w:val="10"/>
    <w:qFormat/>
    <w:rsid w:val="00B75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5E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5E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5E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5E62"/>
    <w:pPr>
      <w:spacing w:before="160"/>
      <w:jc w:val="center"/>
    </w:pPr>
    <w:rPr>
      <w:i/>
      <w:iCs/>
      <w:color w:val="404040" w:themeColor="text1" w:themeTint="BF"/>
    </w:rPr>
  </w:style>
  <w:style w:type="character" w:customStyle="1" w:styleId="CitationCar">
    <w:name w:val="Citation Car"/>
    <w:basedOn w:val="Policepardfaut"/>
    <w:link w:val="Citation"/>
    <w:uiPriority w:val="29"/>
    <w:rsid w:val="00B75E62"/>
    <w:rPr>
      <w:i/>
      <w:iCs/>
      <w:color w:val="404040" w:themeColor="text1" w:themeTint="BF"/>
    </w:rPr>
  </w:style>
  <w:style w:type="paragraph" w:styleId="Paragraphedeliste">
    <w:name w:val="List Paragraph"/>
    <w:basedOn w:val="Normal"/>
    <w:uiPriority w:val="34"/>
    <w:qFormat/>
    <w:rsid w:val="00B75E62"/>
    <w:pPr>
      <w:ind w:left="720"/>
      <w:contextualSpacing/>
    </w:pPr>
  </w:style>
  <w:style w:type="character" w:styleId="Accentuationintense">
    <w:name w:val="Intense Emphasis"/>
    <w:basedOn w:val="Policepardfaut"/>
    <w:uiPriority w:val="21"/>
    <w:qFormat/>
    <w:rsid w:val="00B75E62"/>
    <w:rPr>
      <w:i/>
      <w:iCs/>
      <w:color w:val="2E74B5" w:themeColor="accent1" w:themeShade="BF"/>
    </w:rPr>
  </w:style>
  <w:style w:type="paragraph" w:styleId="Citationintense">
    <w:name w:val="Intense Quote"/>
    <w:basedOn w:val="Normal"/>
    <w:next w:val="Normal"/>
    <w:link w:val="CitationintenseCar"/>
    <w:uiPriority w:val="30"/>
    <w:qFormat/>
    <w:rsid w:val="00B75E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B75E62"/>
    <w:rPr>
      <w:i/>
      <w:iCs/>
      <w:color w:val="2E74B5" w:themeColor="accent1" w:themeShade="BF"/>
    </w:rPr>
  </w:style>
  <w:style w:type="character" w:styleId="Rfrenceintense">
    <w:name w:val="Intense Reference"/>
    <w:basedOn w:val="Policepardfaut"/>
    <w:uiPriority w:val="32"/>
    <w:qFormat/>
    <w:rsid w:val="00B75E62"/>
    <w:rPr>
      <w:b/>
      <w:bCs/>
      <w:smallCaps/>
      <w:color w:val="2E74B5" w:themeColor="accent1" w:themeShade="BF"/>
      <w:spacing w:val="5"/>
    </w:rPr>
  </w:style>
  <w:style w:type="paragraph" w:styleId="Notedebasdepage">
    <w:name w:val="footnote text"/>
    <w:basedOn w:val="Normal"/>
    <w:link w:val="NotedebasdepageCar"/>
    <w:uiPriority w:val="99"/>
    <w:semiHidden/>
    <w:unhideWhenUsed/>
    <w:rsid w:val="002D72EA"/>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2D72EA"/>
    <w:rPr>
      <w:kern w:val="0"/>
      <w:sz w:val="20"/>
      <w:szCs w:val="20"/>
      <w14:ligatures w14:val="none"/>
    </w:rPr>
  </w:style>
  <w:style w:type="character" w:styleId="Appelnotedebasdep">
    <w:name w:val="footnote reference"/>
    <w:basedOn w:val="Policepardfaut"/>
    <w:uiPriority w:val="99"/>
    <w:semiHidden/>
    <w:unhideWhenUsed/>
    <w:rsid w:val="002D7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235</Words>
  <Characters>1293</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2024-03-16T19:51:00Z</dcterms:created>
  <dcterms:modified xsi:type="dcterms:W3CDTF">2024-03-16T19:58:00Z</dcterms:modified>
</cp:coreProperties>
</file>