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XSpec="center" w:tblpY="86"/>
        <w:tblW w:w="0" w:type="auto"/>
        <w:tblLook w:val="04A0"/>
      </w:tblPr>
      <w:tblGrid>
        <w:gridCol w:w="5248"/>
      </w:tblGrid>
      <w:tr w:rsidR="00C019A6" w:rsidRPr="00AC33B3" w:rsidTr="001B5393">
        <w:tc>
          <w:tcPr>
            <w:tcW w:w="5248" w:type="dxa"/>
          </w:tcPr>
          <w:p w:rsidR="00C019A6" w:rsidRPr="00AC33B3" w:rsidRDefault="00C019A6" w:rsidP="001B5393">
            <w:pPr>
              <w:rPr>
                <w:rFonts w:ascii="Bodoni MT" w:hAnsi="Bodoni MT"/>
                <w:b/>
                <w:bCs/>
                <w:color w:val="000000" w:themeColor="text1"/>
                <w:shd w:val="clear" w:color="auto" w:fill="FFFFFF"/>
                <w:lang w:val="en-US"/>
              </w:rPr>
            </w:pPr>
            <w:proofErr w:type="spellStart"/>
            <w:r w:rsidRPr="00AC33B3">
              <w:rPr>
                <w:rFonts w:ascii="Bodoni MT" w:hAnsi="Bodoni MT"/>
                <w:b/>
                <w:bCs/>
                <w:color w:val="000000" w:themeColor="text1"/>
                <w:shd w:val="clear" w:color="auto" w:fill="FFFFFF"/>
                <w:lang w:val="en-US"/>
              </w:rPr>
              <w:t>Oum</w:t>
            </w:r>
            <w:proofErr w:type="spellEnd"/>
            <w:r w:rsidRPr="00AC33B3">
              <w:rPr>
                <w:rFonts w:ascii="Bodoni MT" w:hAnsi="Bodoni MT"/>
                <w:b/>
                <w:bCs/>
                <w:color w:val="000000" w:themeColor="text1"/>
                <w:shd w:val="clear" w:color="auto" w:fill="FFFFFF"/>
                <w:lang w:val="en-US"/>
              </w:rPr>
              <w:t xml:space="preserve"> El </w:t>
            </w:r>
            <w:proofErr w:type="spellStart"/>
            <w:r w:rsidRPr="00AC33B3">
              <w:rPr>
                <w:rFonts w:ascii="Bodoni MT" w:hAnsi="Bodoni MT"/>
                <w:b/>
                <w:bCs/>
                <w:color w:val="000000" w:themeColor="text1"/>
                <w:shd w:val="clear" w:color="auto" w:fill="FFFFFF"/>
                <w:lang w:val="en-US"/>
              </w:rPr>
              <w:t>Bouaghi</w:t>
            </w:r>
            <w:proofErr w:type="spellEnd"/>
            <w:r w:rsidRPr="00AC33B3">
              <w:rPr>
                <w:rFonts w:ascii="Bodoni MT" w:hAnsi="Bodoni MT"/>
                <w:b/>
                <w:bCs/>
                <w:color w:val="000000" w:themeColor="text1"/>
                <w:shd w:val="clear" w:color="auto" w:fill="FFFFFF"/>
                <w:lang w:val="en-US"/>
              </w:rPr>
              <w:t xml:space="preserve"> University                                                                   </w:t>
            </w:r>
          </w:p>
          <w:p w:rsidR="00C019A6" w:rsidRPr="00AC33B3" w:rsidRDefault="00C019A6" w:rsidP="001B5393">
            <w:pPr>
              <w:rPr>
                <w:rFonts w:ascii="Bodoni MT" w:hAnsi="Bodoni MT"/>
                <w:b/>
                <w:bCs/>
                <w:color w:val="000000" w:themeColor="text1"/>
                <w:shd w:val="clear" w:color="auto" w:fill="FFFFFF"/>
                <w:rtl/>
                <w:lang w:val="en-US"/>
              </w:rPr>
            </w:pPr>
            <w:r w:rsidRPr="00AC33B3">
              <w:rPr>
                <w:rFonts w:ascii="Bodoni MT" w:hAnsi="Bodoni MT"/>
                <w:b/>
                <w:bCs/>
                <w:color w:val="000000" w:themeColor="text1"/>
                <w:shd w:val="clear" w:color="auto" w:fill="FFFFFF"/>
                <w:lang w:val="en-US"/>
              </w:rPr>
              <w:t>Faculty of Law and Political Sciences</w:t>
            </w:r>
          </w:p>
          <w:p w:rsidR="00C019A6" w:rsidRPr="00AC33B3" w:rsidRDefault="00C019A6" w:rsidP="001B5393">
            <w:pPr>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Political Sciences Department</w:t>
            </w:r>
          </w:p>
          <w:p w:rsidR="00C019A6" w:rsidRPr="00AC33B3" w:rsidRDefault="00C019A6" w:rsidP="001B5393">
            <w:pPr>
              <w:bidi/>
              <w:rPr>
                <w:rFonts w:ascii="Bodoni MT" w:hAnsi="Bodoni MT"/>
                <w:b/>
                <w:bCs/>
                <w:color w:val="000000" w:themeColor="text1"/>
                <w:shd w:val="clear" w:color="auto" w:fill="FFFFFF"/>
                <w:lang w:val="en-US" w:bidi="ar-DZ"/>
              </w:rPr>
            </w:pPr>
            <w:r>
              <w:rPr>
                <w:rFonts w:ascii="Bodoni MT" w:hAnsi="Bodoni MT"/>
                <w:b/>
                <w:bCs/>
                <w:color w:val="000000" w:themeColor="text1"/>
                <w:shd w:val="clear" w:color="auto" w:fill="FFFFFF"/>
                <w:lang w:val="en-US"/>
              </w:rPr>
              <w:t>Second</w:t>
            </w:r>
            <w:r w:rsidRPr="00AC33B3">
              <w:rPr>
                <w:rFonts w:ascii="Bodoni MT" w:hAnsi="Bodoni MT"/>
                <w:b/>
                <w:bCs/>
                <w:color w:val="000000" w:themeColor="text1"/>
                <w:shd w:val="clear" w:color="auto" w:fill="FFFFFF"/>
                <w:lang w:val="en-US"/>
              </w:rPr>
              <w:t xml:space="preserve"> Year, M</w:t>
            </w:r>
            <w:r w:rsidRPr="00AC33B3">
              <w:rPr>
                <w:rFonts w:ascii="Bodoni MT" w:hAnsi="Bodoni MT"/>
                <w:b/>
                <w:bCs/>
                <w:color w:val="000000" w:themeColor="text1"/>
                <w:shd w:val="clear" w:color="auto" w:fill="FFFFFF"/>
                <w:lang w:val="en-US" w:bidi="ar-DZ"/>
              </w:rPr>
              <w:t>aster P/Policy</w:t>
            </w:r>
          </w:p>
          <w:p w:rsidR="00C019A6" w:rsidRPr="00AC33B3" w:rsidRDefault="00C019A6" w:rsidP="001B5393">
            <w:pPr>
              <w:bidi/>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 xml:space="preserve">                                                                   </w:t>
            </w:r>
          </w:p>
          <w:p w:rsidR="00C019A6" w:rsidRPr="00AC33B3" w:rsidRDefault="00C019A6" w:rsidP="001B5393">
            <w:pPr>
              <w:bidi/>
              <w:rPr>
                <w:rFonts w:ascii="Bodoni MT" w:hAnsi="Bodoni MT"/>
                <w:b/>
                <w:bCs/>
                <w:color w:val="000000" w:themeColor="text1"/>
                <w:shd w:val="clear" w:color="auto" w:fill="FFFFFF"/>
                <w:lang w:val="en-US" w:bidi="ar-DZ"/>
              </w:rPr>
            </w:pPr>
            <w:r w:rsidRPr="00AC33B3">
              <w:rPr>
                <w:rFonts w:ascii="Bodoni MT" w:hAnsi="Bodoni MT"/>
                <w:b/>
                <w:bCs/>
                <w:color w:val="000000" w:themeColor="text1"/>
                <w:shd w:val="clear" w:color="auto" w:fill="FFFFFF"/>
                <w:lang w:val="en-US"/>
              </w:rPr>
              <w:t>March, 2024</w:t>
            </w:r>
          </w:p>
          <w:p w:rsidR="00C019A6" w:rsidRPr="00AC33B3" w:rsidRDefault="00C019A6" w:rsidP="001B5393">
            <w:pPr>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 xml:space="preserve">                                                                      </w:t>
            </w:r>
            <w:r w:rsidRPr="00AC33B3">
              <w:rPr>
                <w:rFonts w:ascii="Bodoni MT" w:hAnsi="Bodoni MT"/>
                <w:b/>
                <w:bCs/>
                <w:color w:val="000000" w:themeColor="text1"/>
                <w:shd w:val="clear" w:color="auto" w:fill="FFFFFF"/>
                <w:rtl/>
                <w:lang w:val="en-US"/>
              </w:rPr>
              <w:t xml:space="preserve">     </w:t>
            </w:r>
            <w:r w:rsidRPr="00AC33B3">
              <w:rPr>
                <w:rFonts w:ascii="Bodoni MT" w:hAnsi="Bodoni MT"/>
                <w:b/>
                <w:bCs/>
                <w:color w:val="000000" w:themeColor="text1"/>
                <w:shd w:val="clear" w:color="auto" w:fill="FFFFFF"/>
                <w:lang w:val="en-US"/>
              </w:rPr>
              <w:t xml:space="preserve">         </w:t>
            </w:r>
          </w:p>
        </w:tc>
      </w:tr>
    </w:tbl>
    <w:p w:rsidR="00C019A6" w:rsidRDefault="00C019A6" w:rsidP="00C019A6">
      <w:pPr>
        <w:pStyle w:val="NormalWeb"/>
        <w:shd w:val="clear" w:color="auto" w:fill="FFFFFF"/>
        <w:spacing w:before="0" w:beforeAutospacing="0" w:after="0" w:afterAutospacing="0" w:line="288" w:lineRule="atLeast"/>
        <w:jc w:val="lowKashida"/>
        <w:rPr>
          <w:rStyle w:val="lev"/>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Style w:val="lev"/>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Style w:val="lev"/>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Style w:val="lev"/>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Style w:val="lev"/>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Style w:val="lev"/>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Style w:val="lev"/>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Style w:val="lev"/>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Style w:val="lev"/>
          <w:rFonts w:ascii="Bodoni MT" w:hAnsi="Bodoni MT" w:cs="Sakkal Majalla"/>
          <w:color w:val="000000" w:themeColor="text1"/>
          <w:lang w:val="en-US"/>
        </w:rPr>
      </w:pPr>
      <w:r w:rsidRPr="00C019A6">
        <w:rPr>
          <w:rStyle w:val="lev"/>
          <w:rFonts w:ascii="Bodoni MT" w:hAnsi="Bodoni MT" w:cs="Sakkal Majalla"/>
          <w:color w:val="000000" w:themeColor="text1"/>
          <w:lang w:val="en-US"/>
        </w:rPr>
        <w:t>Women at the intersection of climate change, poverty, and vulnerability in MENA</w:t>
      </w:r>
    </w:p>
    <w:p w:rsidR="00C019A6" w:rsidRPr="00C019A6" w:rsidRDefault="00C019A6" w:rsidP="00C019A6">
      <w:pPr>
        <w:pStyle w:val="NormalWeb"/>
        <w:shd w:val="clear" w:color="auto" w:fill="FFFFFF"/>
        <w:spacing w:before="0" w:beforeAutospacing="0" w:after="0" w:afterAutospacing="0" w:line="288" w:lineRule="atLeast"/>
        <w:jc w:val="lowKashida"/>
        <w:rPr>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Fonts w:ascii="Bodoni MT" w:hAnsi="Bodoni MT" w:cs="Sakkal Majalla"/>
          <w:color w:val="000000" w:themeColor="text1"/>
          <w:lang w:val="en-US"/>
        </w:rPr>
      </w:pPr>
      <w:r w:rsidRPr="00C019A6">
        <w:rPr>
          <w:rFonts w:ascii="Bodoni MT" w:hAnsi="Bodoni MT" w:cs="Sakkal Majalla"/>
          <w:color w:val="000000" w:themeColor="text1"/>
          <w:lang w:val="en-US"/>
        </w:rPr>
        <w:t>The Middle East and North Africa is both </w:t>
      </w:r>
      <w:hyperlink r:id="rId4" w:history="1">
        <w:r w:rsidRPr="00C019A6">
          <w:rPr>
            <w:rStyle w:val="Lienhypertexte"/>
            <w:rFonts w:ascii="Bodoni MT" w:hAnsi="Bodoni MT" w:cs="Sakkal Majalla"/>
            <w:color w:val="000000" w:themeColor="text1"/>
            <w:u w:val="none"/>
            <w:lang w:val="en-US"/>
          </w:rPr>
          <w:t>a climate change hotspot</w:t>
        </w:r>
      </w:hyperlink>
      <w:r w:rsidRPr="00C019A6">
        <w:rPr>
          <w:rFonts w:ascii="Bodoni MT" w:hAnsi="Bodoni MT" w:cs="Sakkal Majalla"/>
          <w:color w:val="000000" w:themeColor="text1"/>
          <w:lang w:val="en-US"/>
        </w:rPr>
        <w:t> and one of the world’s most gender unequal regions. According to the World Economic Forum’s </w:t>
      </w:r>
      <w:hyperlink r:id="rId5" w:history="1">
        <w:r w:rsidRPr="00C019A6">
          <w:rPr>
            <w:rStyle w:val="Lienhypertexte"/>
            <w:rFonts w:ascii="Bodoni MT" w:hAnsi="Bodoni MT" w:cs="Sakkal Majalla"/>
            <w:color w:val="000000" w:themeColor="text1"/>
            <w:u w:val="none"/>
            <w:lang w:val="en-US"/>
          </w:rPr>
          <w:t>Global Gender Gap report 2023</w:t>
        </w:r>
      </w:hyperlink>
      <w:r w:rsidRPr="00C019A6">
        <w:rPr>
          <w:rFonts w:ascii="Bodoni MT" w:hAnsi="Bodoni MT" w:cs="Sakkal Majalla"/>
          <w:color w:val="000000" w:themeColor="text1"/>
          <w:lang w:val="en-US"/>
        </w:rPr>
        <w:t>, the region is the furthest away from equality with a 62.6% parity score, suggesting it would take 152 years to fully attain parity at the current rate of progress.</w:t>
      </w:r>
    </w:p>
    <w:p w:rsidR="00C019A6" w:rsidRPr="00C019A6" w:rsidRDefault="00C019A6" w:rsidP="00C019A6">
      <w:pPr>
        <w:pStyle w:val="NormalWeb"/>
        <w:shd w:val="clear" w:color="auto" w:fill="FFFFFF"/>
        <w:spacing w:before="0" w:beforeAutospacing="0" w:after="0" w:afterAutospacing="0" w:line="288" w:lineRule="atLeast"/>
        <w:jc w:val="lowKashida"/>
        <w:rPr>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Fonts w:ascii="Bodoni MT" w:hAnsi="Bodoni MT" w:cs="Sakkal Majalla"/>
          <w:color w:val="000000" w:themeColor="text1"/>
          <w:lang w:val="en-US"/>
        </w:rPr>
      </w:pPr>
      <w:r w:rsidRPr="00C019A6">
        <w:rPr>
          <w:rFonts w:ascii="Bodoni MT" w:hAnsi="Bodoni MT" w:cs="Sakkal Majalla"/>
          <w:color w:val="000000" w:themeColor="text1"/>
          <w:lang w:val="en-US"/>
        </w:rPr>
        <w:t>As a result of gender inequality, women face </w:t>
      </w:r>
      <w:hyperlink r:id="rId6" w:history="1">
        <w:r w:rsidRPr="00C019A6">
          <w:rPr>
            <w:rStyle w:val="Lienhypertexte"/>
            <w:rFonts w:ascii="Bodoni MT" w:hAnsi="Bodoni MT" w:cs="Sakkal Majalla"/>
            <w:color w:val="000000" w:themeColor="text1"/>
            <w:u w:val="none"/>
            <w:lang w:val="en-US"/>
          </w:rPr>
          <w:t>disproportionate risks</w:t>
        </w:r>
      </w:hyperlink>
      <w:r w:rsidRPr="00C019A6">
        <w:rPr>
          <w:rFonts w:ascii="Bodoni MT" w:hAnsi="Bodoni MT" w:cs="Sakkal Majalla"/>
          <w:color w:val="000000" w:themeColor="text1"/>
          <w:lang w:val="en-US"/>
        </w:rPr>
        <w:t> from climate change. These risks can be attributed to women’s involvement in climate-sensitive livelihoods, such as agriculture and manual labor, in an effort to improve their families’ financial status and support their male counterparts. Around </w:t>
      </w:r>
      <w:hyperlink r:id="rId7" w:history="1">
        <w:r w:rsidRPr="00C019A6">
          <w:rPr>
            <w:rStyle w:val="Lienhypertexte"/>
            <w:rFonts w:ascii="Bodoni MT" w:hAnsi="Bodoni MT" w:cs="Sakkal Majalla"/>
            <w:color w:val="000000" w:themeColor="text1"/>
            <w:u w:val="none"/>
            <w:lang w:val="en-US"/>
          </w:rPr>
          <w:t>50% of the workforce</w:t>
        </w:r>
      </w:hyperlink>
      <w:r w:rsidRPr="00C019A6">
        <w:rPr>
          <w:rFonts w:ascii="Bodoni MT" w:hAnsi="Bodoni MT" w:cs="Sakkal Majalla"/>
          <w:color w:val="000000" w:themeColor="text1"/>
          <w:lang w:val="en-US"/>
        </w:rPr>
        <w:t> in the agricultural sector in the MENA region is female. Faced with climate disasters, women are struggling </w:t>
      </w:r>
      <w:hyperlink r:id="rId8" w:history="1">
        <w:r w:rsidRPr="00C019A6">
          <w:rPr>
            <w:rStyle w:val="Lienhypertexte"/>
            <w:rFonts w:ascii="Bodoni MT" w:hAnsi="Bodoni MT" w:cs="Sakkal Majalla"/>
            <w:color w:val="000000" w:themeColor="text1"/>
            <w:u w:val="none"/>
            <w:lang w:val="en-US"/>
          </w:rPr>
          <w:t>to find accessible water</w:t>
        </w:r>
      </w:hyperlink>
      <w:r w:rsidRPr="00C019A6">
        <w:rPr>
          <w:rFonts w:ascii="Bodoni MT" w:hAnsi="Bodoni MT" w:cs="Sakkal Majalla"/>
          <w:color w:val="000000" w:themeColor="text1"/>
          <w:lang w:val="en-US"/>
        </w:rPr>
        <w:t> and are pushed to cultivate less fertile land. This limits their ability to grow crops and earn an income and contributes to food insecurity. Furthermore, discriminatory laws and prevailing social norms impede women’s access to resources, including land, credit, and water. This hampers their ability to develop their own agri-businesses and starkly </w:t>
      </w:r>
      <w:hyperlink r:id="rId9" w:history="1">
        <w:r w:rsidRPr="00C019A6">
          <w:rPr>
            <w:rStyle w:val="Lienhypertexte"/>
            <w:rFonts w:ascii="Bodoni MT" w:hAnsi="Bodoni MT" w:cs="Sakkal Majalla"/>
            <w:color w:val="000000" w:themeColor="text1"/>
            <w:u w:val="none"/>
            <w:lang w:val="en-US"/>
          </w:rPr>
          <w:t>contrasts with the high percentage of women</w:t>
        </w:r>
      </w:hyperlink>
      <w:r w:rsidRPr="00C019A6">
        <w:rPr>
          <w:rFonts w:ascii="Bodoni MT" w:hAnsi="Bodoni MT" w:cs="Sakkal Majalla"/>
          <w:color w:val="000000" w:themeColor="text1"/>
          <w:lang w:val="en-US"/>
        </w:rPr>
        <w:t> working in the agriculture sector across the region — a figure that reaches up to </w:t>
      </w:r>
      <w:hyperlink r:id="rId10" w:history="1">
        <w:r w:rsidRPr="00C019A6">
          <w:rPr>
            <w:rStyle w:val="Lienhypertexte"/>
            <w:rFonts w:ascii="Bodoni MT" w:hAnsi="Bodoni MT" w:cs="Sakkal Majalla"/>
            <w:color w:val="000000" w:themeColor="text1"/>
            <w:u w:val="none"/>
            <w:lang w:val="en-US"/>
          </w:rPr>
          <w:t>52% in Morocco</w:t>
        </w:r>
      </w:hyperlink>
      <w:r w:rsidRPr="00C019A6">
        <w:rPr>
          <w:rFonts w:ascii="Bodoni MT" w:hAnsi="Bodoni MT" w:cs="Sakkal Majalla"/>
          <w:color w:val="000000" w:themeColor="text1"/>
          <w:lang w:val="en-US"/>
        </w:rPr>
        <w:t> and </w:t>
      </w:r>
      <w:hyperlink r:id="rId11" w:history="1">
        <w:r w:rsidRPr="00C019A6">
          <w:rPr>
            <w:rStyle w:val="Lienhypertexte"/>
            <w:rFonts w:ascii="Bodoni MT" w:hAnsi="Bodoni MT" w:cs="Sakkal Majalla"/>
            <w:color w:val="000000" w:themeColor="text1"/>
            <w:u w:val="none"/>
            <w:lang w:val="en-US"/>
          </w:rPr>
          <w:t>45% in Egypt</w:t>
        </w:r>
      </w:hyperlink>
      <w:r w:rsidRPr="00C019A6">
        <w:rPr>
          <w:rFonts w:ascii="Bodoni MT" w:hAnsi="Bodoni MT" w:cs="Sakkal Majalla"/>
          <w:color w:val="000000" w:themeColor="text1"/>
          <w:lang w:val="en-US"/>
        </w:rPr>
        <w:t>.</w:t>
      </w:r>
    </w:p>
    <w:p w:rsidR="00C019A6" w:rsidRPr="00C019A6" w:rsidRDefault="00C019A6" w:rsidP="00C019A6">
      <w:pPr>
        <w:pStyle w:val="NormalWeb"/>
        <w:shd w:val="clear" w:color="auto" w:fill="FFFFFF"/>
        <w:spacing w:before="0" w:beforeAutospacing="0" w:after="0" w:afterAutospacing="0" w:line="288" w:lineRule="atLeast"/>
        <w:jc w:val="lowKashida"/>
        <w:rPr>
          <w:rFonts w:ascii="Bodoni MT" w:hAnsi="Bodoni MT" w:cs="Sakkal Majalla"/>
          <w:color w:val="000000" w:themeColor="text1"/>
          <w:lang w:val="en-US"/>
        </w:rPr>
      </w:pPr>
    </w:p>
    <w:p w:rsidR="00C019A6" w:rsidRDefault="00C019A6" w:rsidP="00C019A6">
      <w:pPr>
        <w:pStyle w:val="NormalWeb"/>
        <w:shd w:val="clear" w:color="auto" w:fill="FFFFFF"/>
        <w:spacing w:before="0" w:beforeAutospacing="0" w:after="0" w:afterAutospacing="0" w:line="288" w:lineRule="atLeast"/>
        <w:jc w:val="lowKashida"/>
        <w:rPr>
          <w:rFonts w:ascii="Bodoni MT" w:hAnsi="Bodoni MT" w:cs="Sakkal Majalla"/>
          <w:color w:val="000000" w:themeColor="text1"/>
          <w:lang w:val="en-US"/>
        </w:rPr>
      </w:pPr>
      <w:r w:rsidRPr="00C019A6">
        <w:rPr>
          <w:rFonts w:ascii="Bodoni MT" w:hAnsi="Bodoni MT" w:cs="Sakkal Majalla"/>
          <w:color w:val="000000" w:themeColor="text1"/>
          <w:lang w:val="en-US"/>
        </w:rPr>
        <w:t>According to a </w:t>
      </w:r>
      <w:hyperlink r:id="rId12" w:history="1">
        <w:r w:rsidRPr="00C019A6">
          <w:rPr>
            <w:rStyle w:val="Lienhypertexte"/>
            <w:rFonts w:ascii="Bodoni MT" w:hAnsi="Bodoni MT" w:cs="Sakkal Majalla"/>
            <w:color w:val="000000" w:themeColor="text1"/>
            <w:u w:val="none"/>
            <w:lang w:val="en-US"/>
          </w:rPr>
          <w:t>report</w:t>
        </w:r>
      </w:hyperlink>
      <w:r w:rsidRPr="00C019A6">
        <w:rPr>
          <w:rFonts w:ascii="Bodoni MT" w:hAnsi="Bodoni MT" w:cs="Sakkal Majalla"/>
          <w:color w:val="000000" w:themeColor="text1"/>
          <w:lang w:val="en-US"/>
        </w:rPr>
        <w:t> by the International Center for Agricultural Research in the Dry Areas (ICARDA), “Women own less than 5 percent of the agricultural land in the MENA region, and they are often excluded from decision-making related to land management.” The impacts of climate change also cause an increase in women’s and girls’ already unequal unpaid care and domestic responsibilities, trapping them in “time poverty” and constraining their access to education and employment opportunities. For example, in </w:t>
      </w:r>
      <w:hyperlink r:id="rId13" w:history="1">
        <w:r w:rsidRPr="00C019A6">
          <w:rPr>
            <w:rStyle w:val="Lienhypertexte"/>
            <w:rFonts w:ascii="Bodoni MT" w:hAnsi="Bodoni MT" w:cs="Sakkal Majalla"/>
            <w:color w:val="000000" w:themeColor="text1"/>
            <w:u w:val="none"/>
            <w:lang w:val="en-US"/>
          </w:rPr>
          <w:t>Yemen,</w:t>
        </w:r>
      </w:hyperlink>
      <w:r w:rsidRPr="00C019A6">
        <w:rPr>
          <w:rFonts w:ascii="Bodoni MT" w:hAnsi="Bodoni MT" w:cs="Sakkal Majalla"/>
          <w:color w:val="000000" w:themeColor="text1"/>
          <w:lang w:val="en-US"/>
        </w:rPr>
        <w:t> as a result of recurring droughts and aggravated water scarcity, girls have been forced to drop out of school to shoulder the growing burden as water becomes increasingly inaccessible and time-consuming to collect.</w:t>
      </w:r>
    </w:p>
    <w:p w:rsidR="00C019A6" w:rsidRPr="00C019A6" w:rsidRDefault="00C019A6" w:rsidP="00C019A6">
      <w:pPr>
        <w:pStyle w:val="NormalWeb"/>
        <w:shd w:val="clear" w:color="auto" w:fill="FFFFFF"/>
        <w:spacing w:before="0" w:beforeAutospacing="0" w:after="0" w:afterAutospacing="0" w:line="288" w:lineRule="atLeast"/>
        <w:jc w:val="lowKashida"/>
        <w:rPr>
          <w:rFonts w:ascii="Bodoni MT" w:hAnsi="Bodoni MT" w:cs="Sakkal Majalla"/>
          <w:color w:val="000000" w:themeColor="text1"/>
          <w:lang w:val="en-US"/>
        </w:rPr>
      </w:pPr>
    </w:p>
    <w:p w:rsidR="00C019A6" w:rsidRPr="00C019A6" w:rsidRDefault="00C019A6" w:rsidP="00C019A6">
      <w:pPr>
        <w:pStyle w:val="NormalWeb"/>
        <w:shd w:val="clear" w:color="auto" w:fill="FFFFFF"/>
        <w:spacing w:before="0" w:beforeAutospacing="0" w:after="0" w:afterAutospacing="0" w:line="288" w:lineRule="atLeast"/>
        <w:jc w:val="lowKashida"/>
        <w:rPr>
          <w:rFonts w:ascii="Bodoni MT" w:hAnsi="Bodoni MT" w:cs="Sakkal Majalla"/>
          <w:color w:val="000000" w:themeColor="text1"/>
          <w:lang w:val="en-US"/>
        </w:rPr>
      </w:pPr>
      <w:r w:rsidRPr="00C019A6">
        <w:rPr>
          <w:rFonts w:ascii="Bodoni MT" w:hAnsi="Bodoni MT" w:cs="Sakkal Majalla"/>
          <w:color w:val="000000" w:themeColor="text1"/>
          <w:lang w:val="en-US"/>
        </w:rPr>
        <w:t>With the addition of regional conflicts, the result is mass displacement of women and girls, particularly as proximity to conflict increases. According to the </w:t>
      </w:r>
      <w:hyperlink r:id="rId14" w:anchor=":~:text=More%20than%2021%2C000%20families%20have,mostly%20in%20need%20of%20shelter." w:history="1">
        <w:r w:rsidRPr="00C019A6">
          <w:rPr>
            <w:rStyle w:val="Lienhypertexte"/>
            <w:rFonts w:ascii="Bodoni MT" w:hAnsi="Bodoni MT" w:cs="Sakkal Majalla"/>
            <w:color w:val="000000" w:themeColor="text1"/>
            <w:u w:val="none"/>
            <w:lang w:val="en-US"/>
          </w:rPr>
          <w:t>United Nations High Commissioner for Refugees</w:t>
        </w:r>
      </w:hyperlink>
      <w:r w:rsidRPr="00C019A6">
        <w:rPr>
          <w:rFonts w:ascii="Bodoni MT" w:hAnsi="Bodoni MT" w:cs="Sakkal Majalla"/>
          <w:color w:val="000000" w:themeColor="text1"/>
          <w:lang w:val="en-US"/>
        </w:rPr>
        <w:t>, due to the sweeping floods that took place in Yemen between May and August 2020, about 300,000 individuals lost their homes, crops, and livestock, and were subsequently internally displaced. In these situations of climate-induced migration, </w:t>
      </w:r>
      <w:hyperlink r:id="rId15" w:history="1">
        <w:r w:rsidRPr="00C019A6">
          <w:rPr>
            <w:rStyle w:val="Lienhypertexte"/>
            <w:rFonts w:ascii="Bodoni MT" w:hAnsi="Bodoni MT" w:cs="Sakkal Majalla"/>
            <w:color w:val="000000" w:themeColor="text1"/>
            <w:u w:val="none"/>
            <w:lang w:val="en-US"/>
          </w:rPr>
          <w:t>women face greater risks than men</w:t>
        </w:r>
      </w:hyperlink>
      <w:r w:rsidRPr="00C019A6">
        <w:rPr>
          <w:rFonts w:ascii="Bodoni MT" w:hAnsi="Bodoni MT" w:cs="Sakkal Majalla"/>
          <w:color w:val="000000" w:themeColor="text1"/>
          <w:lang w:val="en-US"/>
        </w:rPr>
        <w:t> due to gender-differentiated roles and the far greater burden of care work as compared to men. Therefore, when disasters hit, women are less likely to abandon their homes than men. In addition, the displacement process puts women and girls at high risk of gender-based violence, human trafficking, injury, and death. The UN Environment Program found as much as a </w:t>
      </w:r>
      <w:hyperlink r:id="rId16" w:history="1">
        <w:r w:rsidRPr="00C019A6">
          <w:rPr>
            <w:rStyle w:val="Lienhypertexte"/>
            <w:rFonts w:ascii="Bodoni MT" w:hAnsi="Bodoni MT" w:cs="Sakkal Majalla"/>
            <w:color w:val="000000" w:themeColor="text1"/>
            <w:u w:val="none"/>
            <w:lang w:val="en-US"/>
          </w:rPr>
          <w:t>20-30% increase in human trafficking</w:t>
        </w:r>
      </w:hyperlink>
      <w:r w:rsidRPr="00C019A6">
        <w:rPr>
          <w:rFonts w:ascii="Bodoni MT" w:hAnsi="Bodoni MT" w:cs="Sakkal Majalla"/>
          <w:color w:val="000000" w:themeColor="text1"/>
          <w:lang w:val="en-US"/>
        </w:rPr>
        <w:t>, particularly of women, in the wake of climate disasters. Furthermore, women and children are </w:t>
      </w:r>
      <w:hyperlink r:id="rId17" w:history="1">
        <w:r w:rsidRPr="00C019A6">
          <w:rPr>
            <w:rStyle w:val="Lienhypertexte"/>
            <w:rFonts w:ascii="Bodoni MT" w:hAnsi="Bodoni MT" w:cs="Sakkal Majalla"/>
            <w:color w:val="000000" w:themeColor="text1"/>
            <w:u w:val="none"/>
            <w:lang w:val="en-US"/>
          </w:rPr>
          <w:t>14 times more likely to die</w:t>
        </w:r>
      </w:hyperlink>
      <w:r w:rsidRPr="00C019A6">
        <w:rPr>
          <w:rFonts w:ascii="Bodoni MT" w:hAnsi="Bodoni MT" w:cs="Sakkal Majalla"/>
          <w:color w:val="000000" w:themeColor="text1"/>
          <w:lang w:val="en-US"/>
        </w:rPr>
        <w:t> than men during a disaster. Vulnerabilities are further amplified for women who are of ethnic or linguistic minorities, have disabilities, are pregnant, or are older.</w:t>
      </w:r>
    </w:p>
    <w:p w:rsidR="00C019A6" w:rsidRPr="00C019A6" w:rsidRDefault="00C019A6" w:rsidP="00C019A6">
      <w:pPr>
        <w:pStyle w:val="NormalWeb"/>
        <w:shd w:val="clear" w:color="auto" w:fill="FFFFFF"/>
        <w:spacing w:before="0" w:beforeAutospacing="0" w:after="0" w:afterAutospacing="0" w:line="288" w:lineRule="atLeast"/>
        <w:jc w:val="lowKashida"/>
        <w:rPr>
          <w:rFonts w:ascii="Bodoni MT" w:hAnsi="Bodoni MT" w:cs="Sakkal Majalla"/>
          <w:color w:val="000000" w:themeColor="text1"/>
          <w:lang w:val="en-US"/>
        </w:rPr>
      </w:pPr>
    </w:p>
    <w:p w:rsidR="00C019A6" w:rsidRPr="00C019A6" w:rsidRDefault="00C019A6" w:rsidP="00C019A6">
      <w:pPr>
        <w:pStyle w:val="Titre1"/>
        <w:shd w:val="clear" w:color="auto" w:fill="FFFFFF"/>
        <w:spacing w:before="250" w:beforeAutospacing="0" w:after="142" w:afterAutospacing="0" w:line="626" w:lineRule="atLeast"/>
        <w:rPr>
          <w:rFonts w:ascii="Sakkal Majalla" w:hAnsi="Sakkal Majalla" w:cs="Sakkal Majalla"/>
          <w:color w:val="000000" w:themeColor="text1"/>
          <w:sz w:val="28"/>
          <w:szCs w:val="28"/>
          <w:lang w:val="en-US"/>
        </w:rPr>
      </w:pPr>
      <w:r w:rsidRPr="00C019A6">
        <w:rPr>
          <w:rFonts w:ascii="Arial" w:hAnsi="Arial" w:cs="Arial"/>
          <w:color w:val="FFFFFF"/>
          <w:spacing w:val="-2"/>
          <w:sz w:val="56"/>
          <w:szCs w:val="56"/>
          <w:lang w:val="en-US"/>
        </w:rPr>
        <w:t>Policy shifts and political cha</w:t>
      </w:r>
      <w:r>
        <w:rPr>
          <w:rFonts w:ascii="Arial" w:hAnsi="Arial" w:cs="Arial"/>
          <w:color w:val="FFFFFF"/>
          <w:spacing w:val="-2"/>
          <w:sz w:val="56"/>
          <w:szCs w:val="56"/>
          <w:lang w:val="en-US"/>
        </w:rPr>
        <w:t xml:space="preserve">llenges as Algeria prepares </w:t>
      </w:r>
    </w:p>
    <w:p w:rsidR="007A32DB" w:rsidRPr="00C019A6" w:rsidRDefault="007A32DB" w:rsidP="00C019A6">
      <w:pPr>
        <w:jc w:val="lowKashida"/>
        <w:rPr>
          <w:rFonts w:ascii="Sakkal Majalla" w:hAnsi="Sakkal Majalla" w:cs="Sakkal Majalla"/>
          <w:color w:val="000000" w:themeColor="text1"/>
          <w:sz w:val="28"/>
          <w:szCs w:val="28"/>
          <w:lang w:val="en-US"/>
        </w:rPr>
      </w:pPr>
    </w:p>
    <w:sectPr w:rsidR="007A32DB" w:rsidRPr="00C019A6" w:rsidSect="00C019A6">
      <w:pgSz w:w="11906" w:h="16838"/>
      <w:pgMar w:top="284" w:right="566" w:bottom="141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019A6"/>
    <w:rsid w:val="007A32DB"/>
    <w:rsid w:val="00C019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DB"/>
  </w:style>
  <w:style w:type="paragraph" w:styleId="Titre1">
    <w:name w:val="heading 1"/>
    <w:basedOn w:val="Normal"/>
    <w:link w:val="Titre1Car"/>
    <w:uiPriority w:val="9"/>
    <w:qFormat/>
    <w:rsid w:val="00C019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019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019A6"/>
    <w:rPr>
      <w:color w:val="0000FF"/>
      <w:u w:val="single"/>
    </w:rPr>
  </w:style>
  <w:style w:type="character" w:styleId="lev">
    <w:name w:val="Strong"/>
    <w:basedOn w:val="Policepardfaut"/>
    <w:uiPriority w:val="22"/>
    <w:qFormat/>
    <w:rsid w:val="00C019A6"/>
    <w:rPr>
      <w:b/>
      <w:bCs/>
    </w:rPr>
  </w:style>
  <w:style w:type="character" w:customStyle="1" w:styleId="Titre1Car">
    <w:name w:val="Titre 1 Car"/>
    <w:basedOn w:val="Policepardfaut"/>
    <w:link w:val="Titre1"/>
    <w:uiPriority w:val="9"/>
    <w:rsid w:val="00C019A6"/>
    <w:rPr>
      <w:rFonts w:ascii="Times New Roman" w:eastAsia="Times New Roman" w:hAnsi="Times New Roman" w:cs="Times New Roman"/>
      <w:b/>
      <w:bCs/>
      <w:kern w:val="36"/>
      <w:sz w:val="48"/>
      <w:szCs w:val="48"/>
      <w:lang w:eastAsia="fr-FR"/>
    </w:rPr>
  </w:style>
  <w:style w:type="paragraph" w:customStyle="1" w:styleId="postauthor">
    <w:name w:val="post__author"/>
    <w:basedOn w:val="Normal"/>
    <w:rsid w:val="00C019A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01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66949">
      <w:bodyDiv w:val="1"/>
      <w:marLeft w:val="0"/>
      <w:marRight w:val="0"/>
      <w:marTop w:val="0"/>
      <w:marBottom w:val="0"/>
      <w:divBdr>
        <w:top w:val="none" w:sz="0" w:space="0" w:color="auto"/>
        <w:left w:val="none" w:sz="0" w:space="0" w:color="auto"/>
        <w:bottom w:val="none" w:sz="0" w:space="0" w:color="auto"/>
        <w:right w:val="none" w:sz="0" w:space="0" w:color="auto"/>
      </w:divBdr>
    </w:div>
    <w:div w:id="414785644">
      <w:bodyDiv w:val="1"/>
      <w:marLeft w:val="0"/>
      <w:marRight w:val="0"/>
      <w:marTop w:val="0"/>
      <w:marBottom w:val="0"/>
      <w:divBdr>
        <w:top w:val="none" w:sz="0" w:space="0" w:color="auto"/>
        <w:left w:val="none" w:sz="0" w:space="0" w:color="auto"/>
        <w:bottom w:val="none" w:sz="0" w:space="0" w:color="auto"/>
        <w:right w:val="none" w:sz="0" w:space="0" w:color="auto"/>
      </w:divBdr>
    </w:div>
    <w:div w:id="744228541">
      <w:bodyDiv w:val="1"/>
      <w:marLeft w:val="0"/>
      <w:marRight w:val="0"/>
      <w:marTop w:val="0"/>
      <w:marBottom w:val="0"/>
      <w:divBdr>
        <w:top w:val="none" w:sz="0" w:space="0" w:color="auto"/>
        <w:left w:val="none" w:sz="0" w:space="0" w:color="auto"/>
        <w:bottom w:val="none" w:sz="0" w:space="0" w:color="auto"/>
        <w:right w:val="none" w:sz="0" w:space="0" w:color="auto"/>
      </w:divBdr>
    </w:div>
    <w:div w:id="16122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world/if-women-dont-lead-well-lose-battle-against-climate-crisis" TargetMode="External"/><Relationship Id="rId13" Type="http://schemas.openxmlformats.org/officeDocument/2006/relationships/hyperlink" Target="https://civiliansinconflict.org/wp-content/uploads/2022/10/CIVIC_Report_Yemen_ClimateCrisis_ProtectionofCivilians.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dp.org/sites/g/files/zskgke326/files/migration/arabstates/Gender-policy_Final.pdf" TargetMode="External"/><Relationship Id="rId12" Type="http://schemas.openxmlformats.org/officeDocument/2006/relationships/hyperlink" Target="https://www.icarda.org/media/blog/four-ways-strengthening-gender-equality-agricultural-sector-mena-region" TargetMode="External"/><Relationship Id="rId17" Type="http://schemas.openxmlformats.org/officeDocument/2006/relationships/hyperlink" Target="https://www.unwomen.org/en/news/in-focus/women-and-the-sdgs/sdg-13-climate-action" TargetMode="External"/><Relationship Id="rId2" Type="http://schemas.openxmlformats.org/officeDocument/2006/relationships/settings" Target="settings.xml"/><Relationship Id="rId16" Type="http://schemas.openxmlformats.org/officeDocument/2006/relationships/hyperlink" Target="https://www.undp.org/arab-states/publications/climate-action-gender-and-displacement-arab-region-turning-adversity-opportunity" TargetMode="External"/><Relationship Id="rId1" Type="http://schemas.openxmlformats.org/officeDocument/2006/relationships/styles" Target="styles.xml"/><Relationship Id="rId6" Type="http://schemas.openxmlformats.org/officeDocument/2006/relationships/hyperlink" Target="https://www.preventionweb.net/news/women-suffer-most-climate-displacement" TargetMode="External"/><Relationship Id="rId11" Type="http://schemas.openxmlformats.org/officeDocument/2006/relationships/hyperlink" Target="https://aps.aucegypt.edu/en/articles/1328/enhancing-women-status-in-egypts-agriculture-sector-the-role-of-policy-interventions" TargetMode="External"/><Relationship Id="rId5" Type="http://schemas.openxmlformats.org/officeDocument/2006/relationships/hyperlink" Target="https://www3.weforum.org/docs/WEF_GGGR_2023.pdf" TargetMode="External"/><Relationship Id="rId15" Type="http://schemas.openxmlformats.org/officeDocument/2006/relationships/hyperlink" Target="https://www.preventionweb.net/news/women-suffer-most-climate-displacement" TargetMode="External"/><Relationship Id="rId10" Type="http://schemas.openxmlformats.org/officeDocument/2006/relationships/hyperlink" Target="https://site.caes.uga.edu/studyabroad/2022/07/female-ag-workers-in-morocco/" TargetMode="External"/><Relationship Id="rId19" Type="http://schemas.openxmlformats.org/officeDocument/2006/relationships/theme" Target="theme/theme1.xml"/><Relationship Id="rId4" Type="http://schemas.openxmlformats.org/officeDocument/2006/relationships/hyperlink" Target="https://mena.iom.int/news/changing-climate-gender-equality-today-sustainable-tomorrow-and-call-inclusive-responses-climate-change-and-forced-migration-mena-region" TargetMode="External"/><Relationship Id="rId9" Type="http://schemas.openxmlformats.org/officeDocument/2006/relationships/hyperlink" Target="https://www.fao.org/3/CC5060EN/online/status-women-agrifood-systems-2023/chapter1.html" TargetMode="External"/><Relationship Id="rId14" Type="http://schemas.openxmlformats.org/officeDocument/2006/relationships/hyperlink" Target="https://data.unhcr.org/fr/documents/download/788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827</Words>
  <Characters>4554</Characters>
  <Application>Microsoft Office Word</Application>
  <DocSecurity>0</DocSecurity>
  <Lines>37</Lines>
  <Paragraphs>10</Paragraphs>
  <ScaleCrop>false</ScaleCrop>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2024-03-16T14:40:00Z</dcterms:created>
  <dcterms:modified xsi:type="dcterms:W3CDTF">2024-03-16T14:45:00Z</dcterms:modified>
</cp:coreProperties>
</file>