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3402"/>
        <w:gridCol w:w="2384"/>
      </w:tblGrid>
      <w:tr w:rsidR="0083675B" w:rsidTr="0083675B">
        <w:tc>
          <w:tcPr>
            <w:tcW w:w="2660" w:type="dxa"/>
          </w:tcPr>
          <w:p w:rsidR="0083675B" w:rsidRDefault="0083675B" w:rsidP="004F5198">
            <w:pPr>
              <w:spacing w:line="360" w:lineRule="auto"/>
            </w:pPr>
          </w:p>
        </w:tc>
        <w:tc>
          <w:tcPr>
            <w:tcW w:w="3402" w:type="dxa"/>
          </w:tcPr>
          <w:p w:rsidR="0083675B" w:rsidRPr="0083675B" w:rsidRDefault="0083675B" w:rsidP="004F5198">
            <w:pPr>
              <w:spacing w:line="360" w:lineRule="auto"/>
              <w:jc w:val="center"/>
              <w:rPr>
                <w:rFonts w:asciiTheme="majorBidi" w:hAnsiTheme="majorBidi" w:cstheme="majorBidi"/>
                <w:b/>
                <w:bCs/>
                <w:sz w:val="24"/>
                <w:szCs w:val="24"/>
              </w:rPr>
            </w:pPr>
            <w:r w:rsidRPr="0083675B">
              <w:rPr>
                <w:rFonts w:asciiTheme="majorBidi" w:hAnsiTheme="majorBidi" w:cstheme="majorBidi"/>
                <w:b/>
                <w:bCs/>
                <w:sz w:val="24"/>
                <w:szCs w:val="24"/>
              </w:rPr>
              <w:t xml:space="preserve">Université d’Oum El </w:t>
            </w:r>
            <w:proofErr w:type="spellStart"/>
            <w:r w:rsidRPr="0083675B">
              <w:rPr>
                <w:rFonts w:asciiTheme="majorBidi" w:hAnsiTheme="majorBidi" w:cstheme="majorBidi"/>
                <w:b/>
                <w:bCs/>
                <w:sz w:val="24"/>
                <w:szCs w:val="24"/>
              </w:rPr>
              <w:t>Bouaghi</w:t>
            </w:r>
            <w:proofErr w:type="spellEnd"/>
          </w:p>
        </w:tc>
        <w:tc>
          <w:tcPr>
            <w:tcW w:w="2384" w:type="dxa"/>
          </w:tcPr>
          <w:p w:rsidR="0083675B" w:rsidRDefault="0083675B" w:rsidP="004F5198">
            <w:pPr>
              <w:spacing w:line="360" w:lineRule="auto"/>
            </w:pPr>
          </w:p>
        </w:tc>
      </w:tr>
      <w:tr w:rsidR="0083675B" w:rsidTr="0083675B">
        <w:tc>
          <w:tcPr>
            <w:tcW w:w="2660" w:type="dxa"/>
          </w:tcPr>
          <w:p w:rsidR="0083675B" w:rsidRPr="0083675B" w:rsidRDefault="0083675B" w:rsidP="004F5198">
            <w:pPr>
              <w:spacing w:line="360" w:lineRule="auto"/>
              <w:rPr>
                <w:rFonts w:asciiTheme="majorBidi" w:hAnsiTheme="majorBidi" w:cstheme="majorBidi"/>
                <w:b/>
                <w:bCs/>
                <w:sz w:val="24"/>
                <w:szCs w:val="24"/>
              </w:rPr>
            </w:pPr>
            <w:r w:rsidRPr="0083675B">
              <w:rPr>
                <w:rFonts w:asciiTheme="majorBidi" w:hAnsiTheme="majorBidi" w:cstheme="majorBidi"/>
                <w:b/>
                <w:bCs/>
                <w:sz w:val="24"/>
                <w:szCs w:val="24"/>
              </w:rPr>
              <w:t>Niveau</w:t>
            </w:r>
            <w:r>
              <w:rPr>
                <w:rFonts w:asciiTheme="majorBidi" w:hAnsiTheme="majorBidi" w:cstheme="majorBidi"/>
                <w:b/>
                <w:bCs/>
                <w:sz w:val="24"/>
                <w:szCs w:val="24"/>
              </w:rPr>
              <w:t> :</w:t>
            </w:r>
            <w:r w:rsidRPr="0083675B">
              <w:rPr>
                <w:rFonts w:asciiTheme="majorBidi" w:hAnsiTheme="majorBidi" w:cstheme="majorBidi"/>
                <w:b/>
                <w:bCs/>
                <w:sz w:val="24"/>
                <w:szCs w:val="24"/>
              </w:rPr>
              <w:t xml:space="preserve"> </w:t>
            </w:r>
            <w:r w:rsidRPr="0083675B">
              <w:rPr>
                <w:rFonts w:asciiTheme="majorBidi" w:hAnsiTheme="majorBidi" w:cstheme="majorBidi"/>
                <w:sz w:val="24"/>
                <w:szCs w:val="24"/>
              </w:rPr>
              <w:t>Master II (AD)</w:t>
            </w:r>
          </w:p>
        </w:tc>
        <w:tc>
          <w:tcPr>
            <w:tcW w:w="3402" w:type="dxa"/>
          </w:tcPr>
          <w:p w:rsidR="0083675B" w:rsidRPr="0083675B" w:rsidRDefault="0083675B" w:rsidP="004F5198">
            <w:pPr>
              <w:spacing w:line="360" w:lineRule="auto"/>
              <w:jc w:val="center"/>
              <w:rPr>
                <w:rFonts w:asciiTheme="majorBidi" w:hAnsiTheme="majorBidi" w:cstheme="majorBidi"/>
                <w:sz w:val="24"/>
                <w:szCs w:val="24"/>
              </w:rPr>
            </w:pPr>
            <w:r w:rsidRPr="0083675B">
              <w:rPr>
                <w:rFonts w:asciiTheme="majorBidi" w:hAnsiTheme="majorBidi" w:cstheme="majorBidi"/>
                <w:b/>
                <w:bCs/>
                <w:sz w:val="24"/>
                <w:szCs w:val="24"/>
              </w:rPr>
              <w:t>Module :</w:t>
            </w:r>
            <w:r w:rsidRPr="0083675B">
              <w:rPr>
                <w:rFonts w:asciiTheme="majorBidi" w:hAnsiTheme="majorBidi" w:cstheme="majorBidi"/>
                <w:sz w:val="24"/>
                <w:szCs w:val="24"/>
              </w:rPr>
              <w:t xml:space="preserve"> Système Multi-Agents</w:t>
            </w:r>
          </w:p>
        </w:tc>
        <w:tc>
          <w:tcPr>
            <w:tcW w:w="2384" w:type="dxa"/>
          </w:tcPr>
          <w:p w:rsidR="0083675B" w:rsidRPr="0083675B" w:rsidRDefault="00C95D28" w:rsidP="004F5198">
            <w:pPr>
              <w:spacing w:line="360" w:lineRule="auto"/>
              <w:jc w:val="right"/>
              <w:rPr>
                <w:rFonts w:asciiTheme="majorBidi" w:hAnsiTheme="majorBidi" w:cstheme="majorBidi"/>
                <w:b/>
                <w:bCs/>
              </w:rPr>
            </w:pPr>
            <w:r>
              <w:rPr>
                <w:rFonts w:asciiTheme="majorBidi" w:hAnsiTheme="majorBidi" w:cstheme="majorBidi"/>
                <w:b/>
                <w:bCs/>
                <w:sz w:val="24"/>
                <w:szCs w:val="24"/>
              </w:rPr>
              <w:t>Décembre</w:t>
            </w:r>
            <w:r w:rsidR="0083675B" w:rsidRPr="0083675B">
              <w:rPr>
                <w:rFonts w:asciiTheme="majorBidi" w:hAnsiTheme="majorBidi" w:cstheme="majorBidi"/>
                <w:b/>
                <w:bCs/>
                <w:sz w:val="24"/>
                <w:szCs w:val="24"/>
              </w:rPr>
              <w:t xml:space="preserve"> 2015 </w:t>
            </w:r>
          </w:p>
        </w:tc>
      </w:tr>
    </w:tbl>
    <w:p w:rsidR="00427CF7" w:rsidRDefault="00427CF7"/>
    <w:p w:rsidR="0083675B" w:rsidRDefault="00C95D28" w:rsidP="0083675B">
      <w:pPr>
        <w:jc w:val="center"/>
        <w:rPr>
          <w:rFonts w:asciiTheme="majorBidi" w:hAnsiTheme="majorBidi" w:cstheme="majorBidi"/>
          <w:b/>
          <w:bCs/>
          <w:sz w:val="28"/>
          <w:szCs w:val="28"/>
          <w:u w:val="single"/>
        </w:rPr>
      </w:pPr>
      <w:r>
        <w:rPr>
          <w:rFonts w:asciiTheme="majorBidi" w:hAnsiTheme="majorBidi" w:cstheme="majorBidi"/>
          <w:b/>
          <w:bCs/>
          <w:sz w:val="28"/>
          <w:szCs w:val="28"/>
          <w:u w:val="single"/>
        </w:rPr>
        <w:t>TD № 04</w:t>
      </w:r>
    </w:p>
    <w:p w:rsidR="00C95D28" w:rsidRPr="00C95D28" w:rsidRDefault="00C95D28" w:rsidP="00C95D28">
      <w:pPr>
        <w:rPr>
          <w:rFonts w:asciiTheme="majorBidi" w:hAnsiTheme="majorBidi" w:cstheme="majorBidi"/>
          <w:b/>
          <w:bCs/>
          <w:sz w:val="24"/>
          <w:szCs w:val="24"/>
          <w:u w:val="single"/>
        </w:rPr>
      </w:pPr>
      <w:r w:rsidRPr="00C95D28">
        <w:rPr>
          <w:rFonts w:asciiTheme="majorBidi" w:hAnsiTheme="majorBidi" w:cstheme="majorBidi"/>
          <w:b/>
          <w:bCs/>
          <w:sz w:val="24"/>
          <w:szCs w:val="24"/>
          <w:u w:val="single"/>
        </w:rPr>
        <w:t>Exercice 01 :</w:t>
      </w:r>
    </w:p>
    <w:p w:rsidR="00C95D28" w:rsidRDefault="00C95D28" w:rsidP="00C95D28">
      <w:pPr>
        <w:rPr>
          <w:rFonts w:asciiTheme="majorBidi" w:hAnsiTheme="majorBidi" w:cstheme="majorBidi"/>
          <w:sz w:val="24"/>
          <w:szCs w:val="24"/>
        </w:rPr>
      </w:pPr>
      <w:r>
        <w:rPr>
          <w:rFonts w:asciiTheme="majorBidi" w:hAnsiTheme="majorBidi" w:cstheme="majorBidi"/>
          <w:sz w:val="24"/>
          <w:szCs w:val="24"/>
        </w:rPr>
        <w:t>Soit le système suivant :</w:t>
      </w:r>
    </w:p>
    <w:p w:rsidR="00C95D28" w:rsidRDefault="00C95D28" w:rsidP="00C95D28">
      <w:pPr>
        <w:jc w:val="both"/>
        <w:rPr>
          <w:rFonts w:asciiTheme="majorBidi" w:hAnsiTheme="majorBidi" w:cstheme="majorBidi"/>
          <w:sz w:val="24"/>
          <w:szCs w:val="24"/>
        </w:rPr>
      </w:pPr>
      <w:r>
        <w:rPr>
          <w:rFonts w:asciiTheme="majorBidi" w:hAnsiTheme="majorBidi" w:cstheme="majorBidi"/>
          <w:sz w:val="24"/>
          <w:szCs w:val="24"/>
        </w:rPr>
        <w:t>Une salle dispose d’une fenêtre et d’une porte et elle est équipée par une source de lumière et un climatiseur. L’objectif est d’assurer des bonnes conditions de température et d’éclairage. L’éclairage est peut être bon ou mauvais. La température peut être bas</w:t>
      </w:r>
      <w:r w:rsidR="00FA2E49">
        <w:rPr>
          <w:rFonts w:asciiTheme="majorBidi" w:hAnsiTheme="majorBidi" w:cstheme="majorBidi"/>
          <w:sz w:val="24"/>
          <w:szCs w:val="24"/>
        </w:rPr>
        <w:t>s</w:t>
      </w:r>
      <w:r>
        <w:rPr>
          <w:rFonts w:asciiTheme="majorBidi" w:hAnsiTheme="majorBidi" w:cstheme="majorBidi"/>
          <w:sz w:val="24"/>
          <w:szCs w:val="24"/>
        </w:rPr>
        <w:t xml:space="preserve">e, élevée ou adéquate. </w:t>
      </w:r>
    </w:p>
    <w:p w:rsidR="00C95D28" w:rsidRDefault="00C95D28" w:rsidP="00D42D3B">
      <w:pPr>
        <w:jc w:val="both"/>
        <w:rPr>
          <w:rFonts w:asciiTheme="majorBidi" w:hAnsiTheme="majorBidi" w:cstheme="majorBidi"/>
          <w:sz w:val="24"/>
          <w:szCs w:val="24"/>
        </w:rPr>
      </w:pPr>
      <w:r>
        <w:rPr>
          <w:rFonts w:asciiTheme="majorBidi" w:hAnsiTheme="majorBidi" w:cstheme="majorBidi"/>
          <w:sz w:val="24"/>
          <w:szCs w:val="24"/>
        </w:rPr>
        <w:t>Un agent assure ces conditions. Donc, si l’éclairage est mauvais, l’agent ouvrit la fenêtre. En conséquence, la salle peut devenir éclairée ou peut rester non-éclairée. Si la salle l</w:t>
      </w:r>
      <w:r w:rsidR="00D42D3B">
        <w:rPr>
          <w:rFonts w:asciiTheme="majorBidi" w:hAnsiTheme="majorBidi" w:cstheme="majorBidi"/>
          <w:sz w:val="24"/>
          <w:szCs w:val="24"/>
        </w:rPr>
        <w:t xml:space="preserve">a salle est encore non éclairée, l’agent va allumer la source de lumière. L’agent peut commander le climatiseur afin d’assurer des bonnes conditions de température. Bien entendu, le contrôle du climatiseur est en fonction avec l’état de la fenêtre. </w:t>
      </w:r>
    </w:p>
    <w:p w:rsidR="00D42D3B" w:rsidRDefault="0006412C" w:rsidP="00D42D3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Représenter les deux ensembles </w:t>
      </w:r>
      <w:r w:rsidRPr="00B837B9">
        <w:rPr>
          <w:rFonts w:asciiTheme="majorBidi" w:hAnsiTheme="majorBidi" w:cstheme="majorBidi"/>
          <w:b/>
          <w:bCs/>
          <w:sz w:val="24"/>
          <w:szCs w:val="24"/>
        </w:rPr>
        <w:t>E</w:t>
      </w:r>
      <w:r>
        <w:rPr>
          <w:rFonts w:asciiTheme="majorBidi" w:hAnsiTheme="majorBidi" w:cstheme="majorBidi"/>
          <w:sz w:val="24"/>
          <w:szCs w:val="24"/>
        </w:rPr>
        <w:t xml:space="preserve"> (</w:t>
      </w:r>
      <w:r w:rsidRPr="00B837B9">
        <w:rPr>
          <w:rFonts w:asciiTheme="majorBidi" w:hAnsiTheme="majorBidi" w:cstheme="majorBidi"/>
          <w:i/>
          <w:iCs/>
          <w:sz w:val="24"/>
          <w:szCs w:val="24"/>
        </w:rPr>
        <w:t>Environnement</w:t>
      </w:r>
      <w:r>
        <w:rPr>
          <w:rFonts w:asciiTheme="majorBidi" w:hAnsiTheme="majorBidi" w:cstheme="majorBidi"/>
          <w:sz w:val="24"/>
          <w:szCs w:val="24"/>
        </w:rPr>
        <w:t xml:space="preserve">) et </w:t>
      </w:r>
      <w:proofErr w:type="spellStart"/>
      <w:r w:rsidRPr="00B837B9">
        <w:rPr>
          <w:rFonts w:asciiTheme="majorBidi" w:hAnsiTheme="majorBidi" w:cstheme="majorBidi"/>
          <w:b/>
          <w:bCs/>
          <w:sz w:val="24"/>
          <w:szCs w:val="24"/>
        </w:rPr>
        <w:t>Ac</w:t>
      </w:r>
      <w:proofErr w:type="spellEnd"/>
      <w:r>
        <w:rPr>
          <w:rFonts w:asciiTheme="majorBidi" w:hAnsiTheme="majorBidi" w:cstheme="majorBidi"/>
          <w:sz w:val="24"/>
          <w:szCs w:val="24"/>
        </w:rPr>
        <w:t xml:space="preserve"> (</w:t>
      </w:r>
      <w:r w:rsidRPr="00B837B9">
        <w:rPr>
          <w:rFonts w:asciiTheme="majorBidi" w:hAnsiTheme="majorBidi" w:cstheme="majorBidi"/>
          <w:i/>
          <w:iCs/>
          <w:sz w:val="24"/>
          <w:szCs w:val="24"/>
        </w:rPr>
        <w:t>Action</w:t>
      </w:r>
      <w:r>
        <w:rPr>
          <w:rFonts w:asciiTheme="majorBidi" w:hAnsiTheme="majorBidi" w:cstheme="majorBidi"/>
          <w:sz w:val="24"/>
          <w:szCs w:val="24"/>
        </w:rPr>
        <w:t xml:space="preserve">). </w:t>
      </w:r>
    </w:p>
    <w:p w:rsidR="0006412C" w:rsidRDefault="0006412C" w:rsidP="00D42D3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Donner un exemple de </w:t>
      </w:r>
      <w:r w:rsidRPr="0006412C">
        <w:rPr>
          <w:rFonts w:asciiTheme="majorBidi" w:hAnsiTheme="majorBidi" w:cstheme="majorBidi"/>
          <w:i/>
          <w:iCs/>
          <w:sz w:val="24"/>
          <w:szCs w:val="24"/>
        </w:rPr>
        <w:t>r</w:t>
      </w:r>
      <w:r>
        <w:rPr>
          <w:rFonts w:asciiTheme="majorBidi" w:hAnsiTheme="majorBidi" w:cstheme="majorBidi"/>
          <w:sz w:val="24"/>
          <w:szCs w:val="24"/>
        </w:rPr>
        <w:t xml:space="preserve"> </w:t>
      </w:r>
      <w:r w:rsidR="00D92943">
        <w:rPr>
          <w:rFonts w:asciiTheme="majorBidi" w:hAnsiTheme="majorBidi" w:cstheme="majorBidi"/>
          <w:sz w:val="24"/>
          <w:szCs w:val="24"/>
        </w:rPr>
        <w:t>(</w:t>
      </w:r>
      <w:r w:rsidR="00D92943" w:rsidRPr="00B837B9">
        <w:rPr>
          <w:rFonts w:asciiTheme="majorBidi" w:hAnsiTheme="majorBidi" w:cstheme="majorBidi"/>
          <w:i/>
          <w:iCs/>
          <w:sz w:val="24"/>
          <w:szCs w:val="24"/>
        </w:rPr>
        <w:t>une exécution de l’agent</w:t>
      </w:r>
      <w:r w:rsidR="00D92943">
        <w:rPr>
          <w:rFonts w:asciiTheme="majorBidi" w:hAnsiTheme="majorBidi" w:cstheme="majorBidi"/>
          <w:sz w:val="24"/>
          <w:szCs w:val="24"/>
        </w:rPr>
        <w:t>)</w:t>
      </w:r>
    </w:p>
    <w:p w:rsidR="00D92943" w:rsidRPr="00D92943" w:rsidRDefault="00D92943" w:rsidP="00D42D3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Donner la fonction </w:t>
      </w:r>
      <w:r w:rsidRPr="00B837B9">
        <w:rPr>
          <w:rFonts w:asciiTheme="majorBidi" w:hAnsiTheme="majorBidi" w:cstheme="majorBidi"/>
          <w:b/>
          <w:bCs/>
          <w:sz w:val="28"/>
          <w:szCs w:val="28"/>
        </w:rPr>
        <w:t>τ</w:t>
      </w:r>
      <w:r>
        <w:rPr>
          <w:rFonts w:asciiTheme="majorBidi" w:hAnsiTheme="majorBidi" w:cstheme="majorBidi"/>
          <w:sz w:val="28"/>
          <w:szCs w:val="28"/>
        </w:rPr>
        <w:t xml:space="preserve">. </w:t>
      </w:r>
    </w:p>
    <w:p w:rsidR="00D92943" w:rsidRDefault="00B837B9" w:rsidP="00D42D3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Soit l’environnement dans son état initial : il fait froid, climatiseur éteint, source de lumière allumé, éclairage est bon, la fenêtre est fermée et la porte est ouverte. Représenter l’environnement </w:t>
      </w:r>
      <w:r w:rsidRPr="00B837B9">
        <w:rPr>
          <w:rFonts w:asciiTheme="majorBidi" w:hAnsiTheme="majorBidi" w:cstheme="majorBidi"/>
          <w:b/>
          <w:bCs/>
          <w:i/>
          <w:iCs/>
          <w:sz w:val="24"/>
          <w:szCs w:val="24"/>
        </w:rPr>
        <w:t>Env</w:t>
      </w:r>
      <w:r>
        <w:rPr>
          <w:rFonts w:asciiTheme="majorBidi" w:hAnsiTheme="majorBidi" w:cstheme="majorBidi"/>
          <w:sz w:val="24"/>
          <w:szCs w:val="24"/>
        </w:rPr>
        <w:t>.</w:t>
      </w:r>
    </w:p>
    <w:p w:rsidR="00B837B9" w:rsidRDefault="00B837B9" w:rsidP="00D42D3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Proposer une définition abstraite de l’agent.</w:t>
      </w:r>
    </w:p>
    <w:p w:rsidR="00B837B9" w:rsidRDefault="00990A47" w:rsidP="00D42D3B">
      <w:pPr>
        <w:pStyle w:val="Paragraphedeliste"/>
        <w:numPr>
          <w:ilvl w:val="0"/>
          <w:numId w:val="1"/>
        </w:numPr>
        <w:jc w:val="both"/>
        <w:rPr>
          <w:rFonts w:asciiTheme="majorBidi" w:hAnsiTheme="majorBidi" w:cstheme="majorBidi"/>
          <w:sz w:val="24"/>
          <w:szCs w:val="24"/>
        </w:rPr>
      </w:pPr>
      <w:r>
        <w:rPr>
          <w:rFonts w:asciiTheme="majorBidi" w:hAnsiTheme="majorBidi" w:cstheme="majorBidi"/>
          <w:sz w:val="24"/>
          <w:szCs w:val="24"/>
        </w:rPr>
        <w:t>Considérant un nouveau état qui consiste à l’état initial précédent avec la prote fermée, comment peut-on caractériser les deux états ?</w:t>
      </w:r>
    </w:p>
    <w:p w:rsidR="00990A47" w:rsidRDefault="00990A47" w:rsidP="00990A47">
      <w:pPr>
        <w:rPr>
          <w:rFonts w:asciiTheme="majorBidi" w:hAnsiTheme="majorBidi" w:cstheme="majorBidi"/>
          <w:b/>
          <w:bCs/>
          <w:sz w:val="24"/>
          <w:szCs w:val="24"/>
          <w:u w:val="single"/>
        </w:rPr>
      </w:pPr>
      <w:r w:rsidRPr="00990A47">
        <w:rPr>
          <w:rFonts w:asciiTheme="majorBidi" w:hAnsiTheme="majorBidi" w:cstheme="majorBidi"/>
          <w:b/>
          <w:bCs/>
          <w:sz w:val="24"/>
          <w:szCs w:val="24"/>
          <w:u w:val="single"/>
        </w:rPr>
        <w:t>Exercice 02 :</w:t>
      </w:r>
    </w:p>
    <w:p w:rsidR="005A003D" w:rsidRDefault="005A003D" w:rsidP="005A003D">
      <w:pPr>
        <w:jc w:val="both"/>
        <w:rPr>
          <w:rFonts w:asciiTheme="majorBidi" w:hAnsiTheme="majorBidi" w:cstheme="majorBidi"/>
          <w:sz w:val="24"/>
          <w:szCs w:val="24"/>
        </w:rPr>
      </w:pPr>
      <w:r>
        <w:rPr>
          <w:rFonts w:asciiTheme="majorBidi" w:hAnsiTheme="majorBidi" w:cstheme="majorBidi"/>
          <w:sz w:val="24"/>
          <w:szCs w:val="24"/>
        </w:rPr>
        <w:t xml:space="preserve">Spécifier par le diagramme d’interaction </w:t>
      </w:r>
      <w:proofErr w:type="gramStart"/>
      <w:r>
        <w:rPr>
          <w:rFonts w:asciiTheme="majorBidi" w:hAnsiTheme="majorBidi" w:cstheme="majorBidi"/>
          <w:sz w:val="24"/>
          <w:szCs w:val="24"/>
        </w:rPr>
        <w:t>de AUML</w:t>
      </w:r>
      <w:proofErr w:type="gramEnd"/>
      <w:r>
        <w:rPr>
          <w:rFonts w:asciiTheme="majorBidi" w:hAnsiTheme="majorBidi" w:cstheme="majorBidi"/>
          <w:sz w:val="24"/>
          <w:szCs w:val="24"/>
        </w:rPr>
        <w:t>, le protocole d’enchère hollandaise.</w:t>
      </w:r>
    </w:p>
    <w:p w:rsidR="005A003D" w:rsidRDefault="005A003D" w:rsidP="005A003D">
      <w:pPr>
        <w:jc w:val="both"/>
        <w:rPr>
          <w:rFonts w:asciiTheme="majorBidi" w:hAnsiTheme="majorBidi" w:cstheme="majorBidi"/>
          <w:b/>
          <w:bCs/>
          <w:sz w:val="24"/>
          <w:szCs w:val="24"/>
          <w:u w:val="single"/>
        </w:rPr>
      </w:pPr>
      <w:r w:rsidRPr="005A003D">
        <w:rPr>
          <w:rFonts w:asciiTheme="majorBidi" w:hAnsiTheme="majorBidi" w:cstheme="majorBidi"/>
          <w:b/>
          <w:bCs/>
          <w:sz w:val="24"/>
          <w:szCs w:val="24"/>
          <w:u w:val="single"/>
        </w:rPr>
        <w:t xml:space="preserve">Exercice 03 : </w:t>
      </w:r>
    </w:p>
    <w:p w:rsidR="00385191" w:rsidRDefault="00837697" w:rsidP="00385191">
      <w:pPr>
        <w:jc w:val="both"/>
        <w:rPr>
          <w:rFonts w:asciiTheme="majorBidi" w:hAnsiTheme="majorBidi" w:cstheme="majorBidi"/>
          <w:sz w:val="24"/>
          <w:szCs w:val="24"/>
        </w:rPr>
      </w:pPr>
      <w:r>
        <w:rPr>
          <w:rFonts w:asciiTheme="majorBidi" w:hAnsiTheme="majorBidi" w:cstheme="majorBidi"/>
          <w:sz w:val="24"/>
          <w:szCs w:val="24"/>
        </w:rPr>
        <w:t>Quel est l’impact du performatif « </w:t>
      </w:r>
      <w:r w:rsidRPr="00837697">
        <w:rPr>
          <w:rFonts w:asciiTheme="majorBidi" w:hAnsiTheme="majorBidi" w:cstheme="majorBidi"/>
          <w:b/>
          <w:bCs/>
          <w:sz w:val="24"/>
          <w:szCs w:val="24"/>
        </w:rPr>
        <w:t>cancel</w:t>
      </w:r>
      <w:r>
        <w:rPr>
          <w:rFonts w:asciiTheme="majorBidi" w:hAnsiTheme="majorBidi" w:cstheme="majorBidi"/>
          <w:b/>
          <w:bCs/>
          <w:sz w:val="24"/>
          <w:szCs w:val="24"/>
        </w:rPr>
        <w:t xml:space="preserve"> » </w:t>
      </w:r>
      <w:r w:rsidRPr="00837697">
        <w:rPr>
          <w:rFonts w:asciiTheme="majorBidi" w:hAnsiTheme="majorBidi" w:cstheme="majorBidi"/>
          <w:sz w:val="24"/>
          <w:szCs w:val="24"/>
        </w:rPr>
        <w:t xml:space="preserve">après </w:t>
      </w:r>
      <w:r w:rsidR="00385191">
        <w:rPr>
          <w:rFonts w:asciiTheme="majorBidi" w:hAnsiTheme="majorBidi" w:cstheme="majorBidi"/>
          <w:sz w:val="24"/>
          <w:szCs w:val="24"/>
        </w:rPr>
        <w:t>l’engagement dans un réseau contractuel (</w:t>
      </w:r>
      <w:proofErr w:type="spellStart"/>
      <w:r w:rsidR="00385191">
        <w:rPr>
          <w:rFonts w:asciiTheme="majorBidi" w:hAnsiTheme="majorBidi" w:cstheme="majorBidi"/>
          <w:sz w:val="24"/>
          <w:szCs w:val="24"/>
        </w:rPr>
        <w:t>Contract</w:t>
      </w:r>
      <w:proofErr w:type="spellEnd"/>
      <w:r w:rsidR="00385191">
        <w:rPr>
          <w:rFonts w:asciiTheme="majorBidi" w:hAnsiTheme="majorBidi" w:cstheme="majorBidi"/>
          <w:sz w:val="24"/>
          <w:szCs w:val="24"/>
        </w:rPr>
        <w:t xml:space="preserve"> Net) ?</w:t>
      </w:r>
    </w:p>
    <w:p w:rsidR="00385191" w:rsidRPr="00385191" w:rsidRDefault="00385191" w:rsidP="00385191">
      <w:pPr>
        <w:jc w:val="both"/>
        <w:rPr>
          <w:rFonts w:asciiTheme="majorBidi" w:hAnsiTheme="majorBidi" w:cstheme="majorBidi"/>
          <w:b/>
          <w:bCs/>
          <w:sz w:val="24"/>
          <w:szCs w:val="24"/>
          <w:u w:val="single"/>
        </w:rPr>
      </w:pPr>
    </w:p>
    <w:p w:rsidR="000C403E" w:rsidRDefault="000C403E" w:rsidP="000C403E">
      <w:pPr>
        <w:autoSpaceDE w:val="0"/>
        <w:autoSpaceDN w:val="0"/>
        <w:adjustRightInd w:val="0"/>
        <w:spacing w:after="0" w:line="360" w:lineRule="auto"/>
        <w:jc w:val="both"/>
        <w:rPr>
          <w:rFonts w:asciiTheme="majorBidi" w:hAnsiTheme="majorBidi" w:cstheme="majorBidi"/>
          <w:sz w:val="24"/>
          <w:szCs w:val="24"/>
        </w:rPr>
      </w:pPr>
    </w:p>
    <w:p w:rsidR="000C403E" w:rsidRPr="000C403E" w:rsidRDefault="000C403E" w:rsidP="000C403E">
      <w:pPr>
        <w:autoSpaceDE w:val="0"/>
        <w:autoSpaceDN w:val="0"/>
        <w:adjustRightInd w:val="0"/>
        <w:spacing w:after="0" w:line="360" w:lineRule="auto"/>
        <w:jc w:val="right"/>
        <w:rPr>
          <w:rFonts w:asciiTheme="majorBidi" w:hAnsiTheme="majorBidi" w:cstheme="majorBidi"/>
          <w:sz w:val="24"/>
          <w:szCs w:val="24"/>
        </w:rPr>
      </w:pPr>
      <w:r>
        <w:rPr>
          <w:rFonts w:asciiTheme="majorBidi" w:hAnsiTheme="majorBidi" w:cstheme="majorBidi"/>
          <w:sz w:val="24"/>
          <w:szCs w:val="24"/>
        </w:rPr>
        <w:t>Dr. MARIR Toufik</w:t>
      </w:r>
    </w:p>
    <w:sectPr w:rsidR="000C403E" w:rsidRPr="000C403E" w:rsidSect="00427C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67B49"/>
    <w:multiLevelType w:val="hybridMultilevel"/>
    <w:tmpl w:val="B8CA91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90D5B34"/>
    <w:multiLevelType w:val="hybridMultilevel"/>
    <w:tmpl w:val="F37A4B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useFELayout/>
  </w:compat>
  <w:rsids>
    <w:rsidRoot w:val="0083675B"/>
    <w:rsid w:val="0006412C"/>
    <w:rsid w:val="000C403E"/>
    <w:rsid w:val="000D4ACB"/>
    <w:rsid w:val="001D3B4C"/>
    <w:rsid w:val="002835FE"/>
    <w:rsid w:val="0029078F"/>
    <w:rsid w:val="00385191"/>
    <w:rsid w:val="003979BD"/>
    <w:rsid w:val="003C365E"/>
    <w:rsid w:val="00427CF7"/>
    <w:rsid w:val="004F5198"/>
    <w:rsid w:val="0050506B"/>
    <w:rsid w:val="005A003D"/>
    <w:rsid w:val="005C6D8E"/>
    <w:rsid w:val="0069359F"/>
    <w:rsid w:val="007602DF"/>
    <w:rsid w:val="00762802"/>
    <w:rsid w:val="00763899"/>
    <w:rsid w:val="00771DB8"/>
    <w:rsid w:val="00821495"/>
    <w:rsid w:val="00821696"/>
    <w:rsid w:val="0083675B"/>
    <w:rsid w:val="00837697"/>
    <w:rsid w:val="0087385F"/>
    <w:rsid w:val="008D2A21"/>
    <w:rsid w:val="00990A47"/>
    <w:rsid w:val="00A869D3"/>
    <w:rsid w:val="00AB3480"/>
    <w:rsid w:val="00B11849"/>
    <w:rsid w:val="00B67858"/>
    <w:rsid w:val="00B837B9"/>
    <w:rsid w:val="00C13092"/>
    <w:rsid w:val="00C95D28"/>
    <w:rsid w:val="00D215E0"/>
    <w:rsid w:val="00D42D3B"/>
    <w:rsid w:val="00D92943"/>
    <w:rsid w:val="00ED55F7"/>
    <w:rsid w:val="00F172DD"/>
    <w:rsid w:val="00F34C19"/>
    <w:rsid w:val="00FA2E49"/>
    <w:rsid w:val="00FF45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67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D55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251</Words>
  <Characters>1383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15</cp:revision>
  <dcterms:created xsi:type="dcterms:W3CDTF">2015-10-05T09:20:00Z</dcterms:created>
  <dcterms:modified xsi:type="dcterms:W3CDTF">2015-12-07T00:07:00Z</dcterms:modified>
</cp:coreProperties>
</file>