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80" w:rightFromText="180" w:horzAnchor="margin" w:tblpY="-105"/>
        <w:tblW w:w="0" w:type="auto"/>
        <w:tblLayout w:type="fixed"/>
        <w:tblLook w:val="04A0"/>
      </w:tblPr>
      <w:tblGrid>
        <w:gridCol w:w="4644"/>
        <w:gridCol w:w="2977"/>
        <w:gridCol w:w="2410"/>
        <w:gridCol w:w="575"/>
      </w:tblGrid>
      <w:tr w:rsidR="0072569F" w:rsidTr="002247CA">
        <w:tc>
          <w:tcPr>
            <w:tcW w:w="106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569F" w:rsidRDefault="0072569F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المحاضرة السابعة</w:t>
            </w:r>
          </w:p>
        </w:tc>
      </w:tr>
      <w:tr w:rsidR="0072569F" w:rsidTr="002247CA">
        <w:tc>
          <w:tcPr>
            <w:tcW w:w="4644" w:type="dxa"/>
            <w:tcBorders>
              <w:top w:val="single" w:sz="4" w:space="0" w:color="auto"/>
            </w:tcBorders>
          </w:tcPr>
          <w:p w:rsidR="0072569F" w:rsidRDefault="0072569F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سند تصدره جهة رسمية مختصة تؤكد فيه حقا أو منفعة معينة لشخص معين.</w:t>
            </w:r>
          </w:p>
          <w:p w:rsidR="0072569F" w:rsidRDefault="0072569F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72569F" w:rsidRDefault="0072569F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Titre de Propriété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2569F" w:rsidRDefault="0072569F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سند ملكية</w:t>
            </w:r>
          </w:p>
        </w:tc>
        <w:tc>
          <w:tcPr>
            <w:tcW w:w="575" w:type="dxa"/>
            <w:tcBorders>
              <w:top w:val="single" w:sz="4" w:space="0" w:color="auto"/>
            </w:tcBorders>
          </w:tcPr>
          <w:p w:rsidR="0072569F" w:rsidRDefault="0072569F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77</w:t>
            </w:r>
          </w:p>
        </w:tc>
      </w:tr>
      <w:tr w:rsidR="0072569F" w:rsidTr="002247CA">
        <w:tc>
          <w:tcPr>
            <w:tcW w:w="4644" w:type="dxa"/>
          </w:tcPr>
          <w:p w:rsidR="0072569F" w:rsidRDefault="0072569F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مكان يستطيع أي شخص أن يدخل فيه، أو يمر منه بالنظر إلى طبيعته، أو تخصيصه أو على سبيل المصادفة .</w:t>
            </w:r>
          </w:p>
        </w:tc>
        <w:tc>
          <w:tcPr>
            <w:tcW w:w="2977" w:type="dxa"/>
          </w:tcPr>
          <w:p w:rsidR="0072569F" w:rsidRDefault="0072569F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Lieu publique</w:t>
            </w:r>
          </w:p>
        </w:tc>
        <w:tc>
          <w:tcPr>
            <w:tcW w:w="2410" w:type="dxa"/>
          </w:tcPr>
          <w:p w:rsidR="0072569F" w:rsidRDefault="0072569F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المكان العام</w:t>
            </w:r>
          </w:p>
        </w:tc>
        <w:tc>
          <w:tcPr>
            <w:tcW w:w="575" w:type="dxa"/>
          </w:tcPr>
          <w:p w:rsidR="0072569F" w:rsidRDefault="0072569F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78</w:t>
            </w:r>
          </w:p>
        </w:tc>
      </w:tr>
      <w:tr w:rsidR="0072569F" w:rsidTr="002247CA">
        <w:tc>
          <w:tcPr>
            <w:tcW w:w="4644" w:type="dxa"/>
          </w:tcPr>
          <w:p w:rsidR="0072569F" w:rsidRDefault="0072569F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مكان يستطيع أي شخص أن يدخل فيه، أو يمر منه سواء أكان ذلك دون قيد أو نظير أداء رسم، أو استيفاء شرط ما.</w:t>
            </w:r>
          </w:p>
        </w:tc>
        <w:tc>
          <w:tcPr>
            <w:tcW w:w="2977" w:type="dxa"/>
          </w:tcPr>
          <w:p w:rsidR="0072569F" w:rsidRDefault="0072569F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Lieu publique par nature</w:t>
            </w:r>
          </w:p>
        </w:tc>
        <w:tc>
          <w:tcPr>
            <w:tcW w:w="2410" w:type="dxa"/>
          </w:tcPr>
          <w:p w:rsidR="0072569F" w:rsidRDefault="0072569F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المكان العام بطبيعته</w:t>
            </w:r>
          </w:p>
        </w:tc>
        <w:tc>
          <w:tcPr>
            <w:tcW w:w="575" w:type="dxa"/>
          </w:tcPr>
          <w:p w:rsidR="0072569F" w:rsidRDefault="0072569F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79</w:t>
            </w:r>
          </w:p>
        </w:tc>
      </w:tr>
      <w:tr w:rsidR="0072569F" w:rsidTr="002247CA">
        <w:tc>
          <w:tcPr>
            <w:tcW w:w="4644" w:type="dxa"/>
          </w:tcPr>
          <w:p w:rsidR="0072569F" w:rsidRDefault="0072569F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مكان خاص، و لكن اقتضت ظروف خاصة دخول جمهور الناس فيه، مثل مسكن اشتعلت فيه النار فدخل جمهور الناس للمساعدة في اطفائها.</w:t>
            </w:r>
          </w:p>
        </w:tc>
        <w:tc>
          <w:tcPr>
            <w:tcW w:w="2977" w:type="dxa"/>
          </w:tcPr>
          <w:p w:rsidR="0072569F" w:rsidRDefault="0072569F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Lieu publique par occasion</w:t>
            </w:r>
          </w:p>
        </w:tc>
        <w:tc>
          <w:tcPr>
            <w:tcW w:w="2410" w:type="dxa"/>
          </w:tcPr>
          <w:p w:rsidR="0072569F" w:rsidRDefault="0072569F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المكان العام بالتخصيص</w:t>
            </w:r>
          </w:p>
        </w:tc>
        <w:tc>
          <w:tcPr>
            <w:tcW w:w="575" w:type="dxa"/>
          </w:tcPr>
          <w:p w:rsidR="0072569F" w:rsidRDefault="0072569F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80</w:t>
            </w:r>
          </w:p>
        </w:tc>
      </w:tr>
      <w:tr w:rsidR="0072569F" w:rsidTr="002247CA">
        <w:tc>
          <w:tcPr>
            <w:tcW w:w="4644" w:type="dxa"/>
          </w:tcPr>
          <w:p w:rsidR="0072569F" w:rsidRDefault="0072569F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من وسائل الاثبات غير المباشرة، لكونها استنباط أمر مجهول من أمر معلوم بعملية استنتاج عقلية تتفق مع المنطق السليم و الخبرة الانسانية.</w:t>
            </w:r>
          </w:p>
        </w:tc>
        <w:tc>
          <w:tcPr>
            <w:tcW w:w="2977" w:type="dxa"/>
          </w:tcPr>
          <w:p w:rsidR="0072569F" w:rsidRDefault="0072569F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Présomption</w:t>
            </w:r>
          </w:p>
        </w:tc>
        <w:tc>
          <w:tcPr>
            <w:tcW w:w="2410" w:type="dxa"/>
          </w:tcPr>
          <w:p w:rsidR="0072569F" w:rsidRDefault="0072569F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القرينة</w:t>
            </w:r>
          </w:p>
        </w:tc>
        <w:tc>
          <w:tcPr>
            <w:tcW w:w="575" w:type="dxa"/>
          </w:tcPr>
          <w:p w:rsidR="0072569F" w:rsidRDefault="0072569F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81</w:t>
            </w:r>
          </w:p>
        </w:tc>
      </w:tr>
      <w:tr w:rsidR="0072569F" w:rsidTr="002247CA">
        <w:tc>
          <w:tcPr>
            <w:tcW w:w="4644" w:type="dxa"/>
          </w:tcPr>
          <w:p w:rsidR="0072569F" w:rsidRDefault="0072569F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هو الواقعة المادية و المعنوية المرتبطة بالجريمة و التي يؤدي كشفها الى توضيح كل أو بعض أبعاد الجريمة، مثل وقتها و مكانها و دوافعها و أسلوب ارتكابها.</w:t>
            </w:r>
          </w:p>
        </w:tc>
        <w:tc>
          <w:tcPr>
            <w:tcW w:w="2977" w:type="dxa"/>
          </w:tcPr>
          <w:p w:rsidR="0072569F" w:rsidRDefault="0072569F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Preuve</w:t>
            </w:r>
          </w:p>
        </w:tc>
        <w:tc>
          <w:tcPr>
            <w:tcW w:w="2410" w:type="dxa"/>
          </w:tcPr>
          <w:p w:rsidR="0072569F" w:rsidRDefault="0072569F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الدليل</w:t>
            </w:r>
          </w:p>
        </w:tc>
        <w:tc>
          <w:tcPr>
            <w:tcW w:w="575" w:type="dxa"/>
          </w:tcPr>
          <w:p w:rsidR="0072569F" w:rsidRDefault="0072569F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82</w:t>
            </w:r>
          </w:p>
        </w:tc>
      </w:tr>
      <w:tr w:rsidR="0072569F" w:rsidTr="002247CA">
        <w:tc>
          <w:tcPr>
            <w:tcW w:w="4644" w:type="dxa"/>
          </w:tcPr>
          <w:p w:rsidR="0072569F" w:rsidRDefault="0072569F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بيانات مخالفة للحقيقة يدلي بها أمام القضاء شخص له صفة الشاهد، و يصر عليها حتى إقفال باب المرافعة.</w:t>
            </w:r>
          </w:p>
        </w:tc>
        <w:tc>
          <w:tcPr>
            <w:tcW w:w="2977" w:type="dxa"/>
          </w:tcPr>
          <w:p w:rsidR="0072569F" w:rsidRDefault="0072569F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Faux Témoignage</w:t>
            </w:r>
          </w:p>
        </w:tc>
        <w:tc>
          <w:tcPr>
            <w:tcW w:w="2410" w:type="dxa"/>
          </w:tcPr>
          <w:p w:rsidR="0072569F" w:rsidRDefault="0072569F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شهادة الزور</w:t>
            </w:r>
          </w:p>
        </w:tc>
        <w:tc>
          <w:tcPr>
            <w:tcW w:w="575" w:type="dxa"/>
          </w:tcPr>
          <w:p w:rsidR="0072569F" w:rsidRDefault="0072569F" w:rsidP="002247C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83</w:t>
            </w:r>
          </w:p>
        </w:tc>
      </w:tr>
    </w:tbl>
    <w:p w:rsidR="0072569F" w:rsidRDefault="0072569F" w:rsidP="0072569F">
      <w:pPr>
        <w:jc w:val="right"/>
      </w:pPr>
    </w:p>
    <w:p w:rsidR="0072569F" w:rsidRPr="00E05B4F" w:rsidRDefault="0072569F" w:rsidP="0072569F">
      <w:pPr>
        <w:jc w:val="right"/>
        <w:rPr>
          <w:b/>
          <w:bCs/>
          <w:rtl/>
          <w:lang w:bidi="ar-DZ"/>
        </w:rPr>
      </w:pPr>
      <w:r w:rsidRPr="00E05B4F">
        <w:rPr>
          <w:rFonts w:hint="cs"/>
          <w:b/>
          <w:bCs/>
          <w:rtl/>
          <w:lang w:bidi="ar-DZ"/>
        </w:rPr>
        <w:t xml:space="preserve">المادة 37 من القانون الأساسي العام للوظيفة العمومية </w:t>
      </w:r>
    </w:p>
    <w:p w:rsidR="0072569F" w:rsidRPr="0072569F" w:rsidRDefault="0072569F" w:rsidP="0072569F">
      <w:pPr>
        <w:jc w:val="right"/>
        <w:rPr>
          <w:sz w:val="28"/>
          <w:szCs w:val="28"/>
          <w:rtl/>
          <w:lang w:bidi="ar-DZ"/>
        </w:rPr>
      </w:pPr>
      <w:r w:rsidRPr="0072569F">
        <w:rPr>
          <w:rFonts w:hint="cs"/>
          <w:sz w:val="28"/>
          <w:szCs w:val="28"/>
          <w:rtl/>
          <w:lang w:bidi="ar-DZ"/>
        </w:rPr>
        <w:t xml:space="preserve">للموظف الحق في ممارسة مهامه في ظروف عمل تضمن له الكرامة و الصحة و السلامة البدنية و المعنوية </w:t>
      </w:r>
    </w:p>
    <w:p w:rsidR="0072569F" w:rsidRDefault="0072569F" w:rsidP="0072569F">
      <w:pPr>
        <w:rPr>
          <w:color w:val="000000"/>
          <w:sz w:val="28"/>
          <w:szCs w:val="28"/>
          <w:lang w:bidi="ar-DZ"/>
        </w:rPr>
      </w:pPr>
      <w:r w:rsidRPr="00E05B4F">
        <w:rPr>
          <w:b/>
          <w:bCs/>
          <w:color w:val="000000"/>
          <w:sz w:val="28"/>
          <w:szCs w:val="28"/>
        </w:rPr>
        <w:t> Article 37 du Statut General de la fonction publique</w:t>
      </w:r>
      <w:r>
        <w:rPr>
          <w:color w:val="000000"/>
          <w:sz w:val="28"/>
          <w:szCs w:val="28"/>
        </w:rPr>
        <w:t>:</w:t>
      </w:r>
      <w:bookmarkStart w:id="0" w:name="_GoBack"/>
      <w:bookmarkEnd w:id="0"/>
    </w:p>
    <w:p w:rsidR="0072569F" w:rsidRPr="00E05B4F" w:rsidRDefault="0072569F" w:rsidP="0072569F">
      <w:pPr>
        <w:rPr>
          <w:sz w:val="44"/>
          <w:szCs w:val="44"/>
          <w:lang w:bidi="ar-DZ"/>
        </w:rPr>
      </w:pPr>
      <w:r w:rsidRPr="00E05B4F">
        <w:rPr>
          <w:color w:val="000000"/>
          <w:sz w:val="28"/>
          <w:szCs w:val="28"/>
        </w:rPr>
        <w:t>Le fonctionnaire doit bénéficier de conditions de travail de nature à préserver sa dignité, sa santé et son intégrité physique et morale</w:t>
      </w:r>
    </w:p>
    <w:p w:rsidR="0071144A" w:rsidRPr="0072569F" w:rsidRDefault="0071144A" w:rsidP="0072569F">
      <w:pPr>
        <w:bidi/>
      </w:pPr>
    </w:p>
    <w:sectPr w:rsidR="0071144A" w:rsidRPr="0072569F" w:rsidSect="0072569F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0AF4" w:rsidRDefault="00320AF4" w:rsidP="0072569F">
      <w:pPr>
        <w:spacing w:after="0" w:line="240" w:lineRule="auto"/>
      </w:pPr>
      <w:r>
        <w:separator/>
      </w:r>
    </w:p>
  </w:endnote>
  <w:endnote w:type="continuationSeparator" w:id="1">
    <w:p w:rsidR="00320AF4" w:rsidRDefault="00320AF4" w:rsidP="00725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569F" w:rsidRDefault="0072569F" w:rsidP="0072569F">
    <w:pPr>
      <w:pStyle w:val="Pieddepage"/>
      <w:jc w:val="right"/>
      <w:rPr>
        <w:rFonts w:hint="cs"/>
        <w:rtl/>
        <w:lang w:bidi="ar-DZ"/>
      </w:rPr>
    </w:pPr>
    <w:r w:rsidRPr="000872BD">
      <w:rPr>
        <w:rFonts w:ascii="Segoe UI" w:hAnsi="Segoe UI" w:cs="Segoe UI"/>
        <w:sz w:val="16"/>
        <w:szCs w:val="16"/>
        <w:rtl/>
        <w:lang w:bidi="ar-DZ"/>
      </w:rPr>
      <w:t>الأستاذ : مقراني نور الدين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0AF4" w:rsidRDefault="00320AF4" w:rsidP="0072569F">
      <w:pPr>
        <w:spacing w:after="0" w:line="240" w:lineRule="auto"/>
      </w:pPr>
      <w:r>
        <w:separator/>
      </w:r>
    </w:p>
  </w:footnote>
  <w:footnote w:type="continuationSeparator" w:id="1">
    <w:p w:rsidR="00320AF4" w:rsidRDefault="00320AF4" w:rsidP="007256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readOnly" w:enforcement="1" w:cryptProviderType="rsaFull" w:cryptAlgorithmClass="hash" w:cryptAlgorithmType="typeAny" w:cryptAlgorithmSid="4" w:cryptSpinCount="50000" w:hash="p5Uvm8Hg9eaEw6X2z0bK7P2lpEQ=" w:salt="FT2CsuOLDGXxlfbELgIawg==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569F"/>
    <w:rsid w:val="00320AF4"/>
    <w:rsid w:val="0071144A"/>
    <w:rsid w:val="00725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69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256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725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2569F"/>
  </w:style>
  <w:style w:type="paragraph" w:styleId="Pieddepage">
    <w:name w:val="footer"/>
    <w:basedOn w:val="Normal"/>
    <w:link w:val="PieddepageCar"/>
    <w:uiPriority w:val="99"/>
    <w:unhideWhenUsed/>
    <w:rsid w:val="007256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569F"/>
  </w:style>
  <w:style w:type="paragraph" w:styleId="Textedebulles">
    <w:name w:val="Balloon Text"/>
    <w:basedOn w:val="Normal"/>
    <w:link w:val="TextedebullesCar"/>
    <w:uiPriority w:val="99"/>
    <w:semiHidden/>
    <w:unhideWhenUsed/>
    <w:rsid w:val="00725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56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1150</Characters>
  <Application>Microsoft Office Word</Application>
  <DocSecurity>8</DocSecurity>
  <Lines>9</Lines>
  <Paragraphs>2</Paragraphs>
  <ScaleCrop>false</ScaleCrop>
  <Company>HP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</dc:creator>
  <cp:lastModifiedBy>kassa</cp:lastModifiedBy>
  <cp:revision>1</cp:revision>
  <dcterms:created xsi:type="dcterms:W3CDTF">2023-12-25T22:17:00Z</dcterms:created>
  <dcterms:modified xsi:type="dcterms:W3CDTF">2023-12-25T22:21:00Z</dcterms:modified>
</cp:coreProperties>
</file>