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horzAnchor="margin" w:tblpY="-105"/>
        <w:tblW w:w="0" w:type="auto"/>
        <w:tblLayout w:type="fixed"/>
        <w:tblLook w:val="04A0"/>
      </w:tblPr>
      <w:tblGrid>
        <w:gridCol w:w="4644"/>
        <w:gridCol w:w="2977"/>
        <w:gridCol w:w="2410"/>
        <w:gridCol w:w="575"/>
      </w:tblGrid>
      <w:tr w:rsidR="0066403A" w:rsidRPr="0066403A" w:rsidTr="00F50D90">
        <w:tc>
          <w:tcPr>
            <w:tcW w:w="10606" w:type="dxa"/>
            <w:gridSpan w:val="4"/>
            <w:tcBorders>
              <w:top w:val="nil"/>
              <w:left w:val="nil"/>
              <w:bottom w:val="single" w:sz="4" w:space="0" w:color="000000" w:themeColor="text1"/>
              <w:right w:val="nil"/>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6"/>
                <w:szCs w:val="36"/>
                <w:rtl/>
                <w:lang w:bidi="ar-DZ"/>
              </w:rPr>
              <w:t>المحاضرة السادسة</w:t>
            </w:r>
          </w:p>
        </w:tc>
      </w:tr>
      <w:tr w:rsidR="0066403A" w:rsidRPr="0066403A" w:rsidTr="0066403A">
        <w:tc>
          <w:tcPr>
            <w:tcW w:w="4644" w:type="dxa"/>
            <w:tcBorders>
              <w:top w:val="single" w:sz="4" w:space="0" w:color="000000" w:themeColor="text1"/>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وقائع مادية، سواء من فعل الإنسان ( الميلاد أو الوفاة) أو الطبعة ( سقوط شجرة بسبب الرياح  وتحطيمها لسيارة )، لا أثر فيها للإرادة .</w:t>
            </w:r>
          </w:p>
        </w:tc>
        <w:tc>
          <w:tcPr>
            <w:tcW w:w="2977" w:type="dxa"/>
            <w:tcBorders>
              <w:top w:val="single" w:sz="4" w:space="0" w:color="000000" w:themeColor="text1"/>
            </w:tcBorders>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Faits juridiques</w:t>
            </w:r>
          </w:p>
        </w:tc>
        <w:tc>
          <w:tcPr>
            <w:tcW w:w="2410" w:type="dxa"/>
            <w:tcBorders>
              <w:top w:val="single" w:sz="4" w:space="0" w:color="000000" w:themeColor="text1"/>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الوقائع القانونية</w:t>
            </w:r>
          </w:p>
        </w:tc>
        <w:tc>
          <w:tcPr>
            <w:tcW w:w="575" w:type="dxa"/>
            <w:tcBorders>
              <w:top w:val="single" w:sz="4" w:space="0" w:color="000000" w:themeColor="text1"/>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63</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 xml:space="preserve">هي الاعمال التي تتجه فيها الارادة المنفردة لإحداث أثر قانوني </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Actes juridiques unilatéral</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 xml:space="preserve">التصرفات القانونية بالإرادة المنفردة </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64</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هي الأعمال التي يتجه فيها اتفاق إرادتين أو أكثر لإحداث أثر قانوني.</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Actes juridiques multilatéral</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التصرفات القانونية الاتفاقية</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65</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افصاح جهة إدارية عمومية بصورة انفرادية عن ارادتها الملزمة بما لها من سلطة بمقتضى القانون عن نيتها لإحداث أثر قانوني بإنشاء وضع قانوني جديد أو تعديل أو الغاء وضع قانوني قائم.</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Administratif (Décision)</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الإداري</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66</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يتعلق بشخص أو عدة أشخاص معينين بذاتهم.</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Individuel</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الفردي</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67</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يتضمن قواعد عامة ملزمة تطبق على عدد غير محدود من الأفراد.</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Réglementaire</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التنظيمي</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68</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يستحدث أثرا قانونيا جديدا .</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Constitutif</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المنشيء</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69</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يقتصر على إثبات أو تقرير حالة موجودة من قبل، دون أن يستحدث أثرا قانونيا جديدا.</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Déclaratif</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الكاشف</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70</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يصدر لتفسير تشريع أو قرار سابق .</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Interprétatif</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المفسر</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71</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يدخل في تكوين عملية إدارية مركبة، و يمكن الطعن فيه استقلالا( كالقرار المتعلق بإحدى مراحل الصفقات العمومية ) .</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Acte Détachable</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 المنفصل</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72</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حيث يمارس رئيس الجمهورية السلطة التنظيمية في المائل غير المخصصة للقانون</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Décret présidentiel</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مرسوم رئاسي</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73</w:t>
            </w:r>
          </w:p>
        </w:tc>
      </w:tr>
      <w:tr w:rsidR="0066403A" w:rsidRPr="0066403A" w:rsidTr="002247CA">
        <w:tc>
          <w:tcPr>
            <w:tcW w:w="4644"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القرارات الصادرة عن الوزير الاول و المتعلقة بتفسير ووضع حيز التنفيذ قانون صادر عن السلطة التشريعية.</w:t>
            </w:r>
          </w:p>
        </w:tc>
        <w:tc>
          <w:tcPr>
            <w:tcW w:w="2977" w:type="dxa"/>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Décret exécutif</w:t>
            </w:r>
          </w:p>
        </w:tc>
        <w:tc>
          <w:tcPr>
            <w:tcW w:w="2410"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مرسوم تنفيذي</w:t>
            </w:r>
          </w:p>
        </w:tc>
        <w:tc>
          <w:tcPr>
            <w:tcW w:w="575" w:type="dxa"/>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74</w:t>
            </w:r>
          </w:p>
        </w:tc>
      </w:tr>
      <w:tr w:rsidR="0066403A" w:rsidRPr="0066403A" w:rsidTr="002247CA">
        <w:tc>
          <w:tcPr>
            <w:tcW w:w="4644" w:type="dxa"/>
            <w:tcBorders>
              <w:bottom w:val="single" w:sz="4" w:space="0" w:color="auto"/>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القرارات الوزارية المشتركة أو القرارات الوزارية</w:t>
            </w:r>
          </w:p>
        </w:tc>
        <w:tc>
          <w:tcPr>
            <w:tcW w:w="2977" w:type="dxa"/>
            <w:tcBorders>
              <w:bottom w:val="single" w:sz="4" w:space="0" w:color="auto"/>
            </w:tcBorders>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 xml:space="preserve">Arrêté Ministériel </w:t>
            </w:r>
          </w:p>
        </w:tc>
        <w:tc>
          <w:tcPr>
            <w:tcW w:w="2410" w:type="dxa"/>
            <w:tcBorders>
              <w:bottom w:val="single" w:sz="4" w:space="0" w:color="auto"/>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قرار وزاري</w:t>
            </w:r>
          </w:p>
        </w:tc>
        <w:tc>
          <w:tcPr>
            <w:tcW w:w="575" w:type="dxa"/>
            <w:tcBorders>
              <w:bottom w:val="single" w:sz="4" w:space="0" w:color="auto"/>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75</w:t>
            </w:r>
          </w:p>
        </w:tc>
      </w:tr>
      <w:tr w:rsidR="0066403A" w:rsidRPr="0066403A" w:rsidTr="002247CA">
        <w:tc>
          <w:tcPr>
            <w:tcW w:w="4644" w:type="dxa"/>
            <w:tcBorders>
              <w:bottom w:val="single" w:sz="4" w:space="0" w:color="auto"/>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القرارات الصادرة عن الوزير الاول و المتعلقة بتفسير و وضع حيز التنفيذ قانون صادر عن السلطة التشريعية .</w:t>
            </w:r>
          </w:p>
        </w:tc>
        <w:tc>
          <w:tcPr>
            <w:tcW w:w="2977" w:type="dxa"/>
            <w:tcBorders>
              <w:bottom w:val="single" w:sz="4" w:space="0" w:color="auto"/>
            </w:tcBorders>
          </w:tcPr>
          <w:p w:rsidR="0066403A" w:rsidRPr="0066403A" w:rsidRDefault="0066403A" w:rsidP="002247CA">
            <w:pPr>
              <w:bidi/>
              <w:jc w:val="center"/>
              <w:rPr>
                <w:rFonts w:ascii="Sakkal Majalla" w:hAnsi="Sakkal Majalla" w:cs="Sakkal Majalla"/>
                <w:sz w:val="32"/>
                <w:szCs w:val="32"/>
                <w:lang w:bidi="ar-DZ"/>
              </w:rPr>
            </w:pPr>
            <w:r w:rsidRPr="0066403A">
              <w:rPr>
                <w:rFonts w:ascii="Sakkal Majalla" w:hAnsi="Sakkal Majalla" w:cs="Sakkal Majalla"/>
                <w:sz w:val="32"/>
                <w:szCs w:val="32"/>
                <w:lang w:bidi="ar-DZ"/>
              </w:rPr>
              <w:t xml:space="preserve">Régulations </w:t>
            </w:r>
          </w:p>
        </w:tc>
        <w:tc>
          <w:tcPr>
            <w:tcW w:w="2410" w:type="dxa"/>
            <w:tcBorders>
              <w:bottom w:val="single" w:sz="4" w:space="0" w:color="auto"/>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لائحة تنظيمية</w:t>
            </w:r>
          </w:p>
        </w:tc>
        <w:tc>
          <w:tcPr>
            <w:tcW w:w="575" w:type="dxa"/>
            <w:tcBorders>
              <w:bottom w:val="single" w:sz="4" w:space="0" w:color="auto"/>
            </w:tcBorders>
          </w:tcPr>
          <w:p w:rsidR="0066403A" w:rsidRPr="0066403A" w:rsidRDefault="0066403A" w:rsidP="002247CA">
            <w:pPr>
              <w:bidi/>
              <w:jc w:val="center"/>
              <w:rPr>
                <w:rFonts w:ascii="Sakkal Majalla" w:hAnsi="Sakkal Majalla" w:cs="Sakkal Majalla"/>
                <w:sz w:val="32"/>
                <w:szCs w:val="32"/>
                <w:rtl/>
                <w:lang w:bidi="ar-DZ"/>
              </w:rPr>
            </w:pPr>
            <w:r w:rsidRPr="0066403A">
              <w:rPr>
                <w:rFonts w:ascii="Sakkal Majalla" w:hAnsi="Sakkal Majalla" w:cs="Sakkal Majalla" w:hint="cs"/>
                <w:sz w:val="32"/>
                <w:szCs w:val="32"/>
                <w:rtl/>
                <w:lang w:bidi="ar-DZ"/>
              </w:rPr>
              <w:t>76</w:t>
            </w:r>
          </w:p>
        </w:tc>
      </w:tr>
    </w:tbl>
    <w:p w:rsidR="0071144A" w:rsidRDefault="0071144A" w:rsidP="0066403A">
      <w:pPr>
        <w:bidi/>
      </w:pPr>
    </w:p>
    <w:sectPr w:rsidR="0071144A" w:rsidSect="0066403A">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656" w:rsidRDefault="00DF7656" w:rsidP="0066403A">
      <w:pPr>
        <w:spacing w:after="0" w:line="240" w:lineRule="auto"/>
      </w:pPr>
      <w:r>
        <w:separator/>
      </w:r>
    </w:p>
  </w:endnote>
  <w:endnote w:type="continuationSeparator" w:id="1">
    <w:p w:rsidR="00DF7656" w:rsidRDefault="00DF7656" w:rsidP="00664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03A" w:rsidRPr="0066403A" w:rsidRDefault="0066403A" w:rsidP="0066403A">
    <w:pPr>
      <w:pStyle w:val="Pieddepage"/>
      <w:jc w:val="right"/>
      <w:rPr>
        <w:rFonts w:ascii="Segoe UI" w:hAnsi="Segoe UI" w:cs="Segoe UI"/>
        <w:sz w:val="16"/>
        <w:szCs w:val="16"/>
        <w:lang w:bidi="ar-DZ"/>
      </w:rPr>
    </w:pPr>
    <w:r w:rsidRPr="000872BD">
      <w:rPr>
        <w:rFonts w:ascii="Segoe UI" w:hAnsi="Segoe UI" w:cs="Segoe UI"/>
        <w:sz w:val="16"/>
        <w:szCs w:val="16"/>
        <w:rtl/>
        <w:lang w:bidi="ar-DZ"/>
      </w:rPr>
      <w:t>الأستاذ : مقراني نور الدين</w:t>
    </w:r>
  </w:p>
  <w:p w:rsidR="0066403A" w:rsidRDefault="006640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656" w:rsidRDefault="00DF7656" w:rsidP="0066403A">
      <w:pPr>
        <w:spacing w:after="0" w:line="240" w:lineRule="auto"/>
      </w:pPr>
      <w:r>
        <w:separator/>
      </w:r>
    </w:p>
  </w:footnote>
  <w:footnote w:type="continuationSeparator" w:id="1">
    <w:p w:rsidR="00DF7656" w:rsidRDefault="00DF7656" w:rsidP="00664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YbJlH019Bp8XPbNU4dIZREEXLlE=" w:salt="sP/PZn+44nkaRx3ngD6qDw=="/>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6403A"/>
    <w:rsid w:val="0066403A"/>
    <w:rsid w:val="0071144A"/>
    <w:rsid w:val="00DF76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4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640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403A"/>
  </w:style>
  <w:style w:type="paragraph" w:styleId="Pieddepage">
    <w:name w:val="footer"/>
    <w:basedOn w:val="Normal"/>
    <w:link w:val="PieddepageCar"/>
    <w:uiPriority w:val="99"/>
    <w:unhideWhenUsed/>
    <w:rsid w:val="006640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03A"/>
  </w:style>
  <w:style w:type="paragraph" w:styleId="Textedebulles">
    <w:name w:val="Balloon Text"/>
    <w:basedOn w:val="Normal"/>
    <w:link w:val="TextedebullesCar"/>
    <w:uiPriority w:val="99"/>
    <w:semiHidden/>
    <w:unhideWhenUsed/>
    <w:rsid w:val="006640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0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1458</Characters>
  <Application>Microsoft Office Word</Application>
  <DocSecurity>8</DocSecurity>
  <Lines>12</Lines>
  <Paragraphs>3</Paragraphs>
  <ScaleCrop>false</ScaleCrop>
  <Company>HP</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dc:creator>
  <cp:lastModifiedBy>kassa</cp:lastModifiedBy>
  <cp:revision>1</cp:revision>
  <dcterms:created xsi:type="dcterms:W3CDTF">2023-12-25T22:12:00Z</dcterms:created>
  <dcterms:modified xsi:type="dcterms:W3CDTF">2023-12-25T22:16:00Z</dcterms:modified>
</cp:coreProperties>
</file>