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314" w:type="dxa"/>
        <w:tblLook w:val="04A0"/>
      </w:tblPr>
      <w:tblGrid>
        <w:gridCol w:w="665"/>
        <w:gridCol w:w="1910"/>
        <w:gridCol w:w="2662"/>
        <w:gridCol w:w="5077"/>
      </w:tblGrid>
      <w:tr w:rsidR="00EC6CE8" w:rsidRPr="008F025D" w:rsidTr="002247CA">
        <w:trPr>
          <w:cantSplit/>
          <w:trHeight w:val="324"/>
        </w:trPr>
        <w:tc>
          <w:tcPr>
            <w:tcW w:w="103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jc w:val="center"/>
              <w:rPr>
                <w:rFonts w:cs="Simplified Arabic"/>
                <w:sz w:val="32"/>
                <w:szCs w:val="32"/>
                <w:rtl/>
                <w:lang w:bidi="ar-DZ"/>
              </w:rPr>
            </w:pP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المحاضرة الرابعة</w:t>
            </w:r>
          </w:p>
        </w:tc>
      </w:tr>
      <w:tr w:rsidR="00EC6CE8" w:rsidRPr="008F025D" w:rsidTr="002247CA">
        <w:trPr>
          <w:cantSplit/>
          <w:trHeight w:val="324"/>
        </w:trPr>
        <w:tc>
          <w:tcPr>
            <w:tcW w:w="665" w:type="dxa"/>
            <w:tcBorders>
              <w:top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  <w:lang w:bidi="ar-DZ"/>
              </w:rPr>
            </w:pPr>
            <w:r w:rsidRPr="008F025D">
              <w:rPr>
                <w:rFonts w:cs="Simplified Arabic"/>
                <w:sz w:val="32"/>
                <w:szCs w:val="32"/>
              </w:rPr>
              <w:t>24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الشيء</w:t>
            </w:r>
          </w:p>
        </w:tc>
        <w:tc>
          <w:tcPr>
            <w:tcW w:w="2662" w:type="dxa"/>
            <w:tcBorders>
              <w:top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ind w:firstLine="0"/>
              <w:jc w:val="left"/>
              <w:rPr>
                <w:rFonts w:cs="Simplified Arabic"/>
                <w:sz w:val="32"/>
                <w:szCs w:val="32"/>
              </w:rPr>
            </w:pPr>
            <w:r w:rsidRPr="008F025D">
              <w:rPr>
                <w:rFonts w:cs="Simplified Arabic"/>
                <w:sz w:val="32"/>
                <w:szCs w:val="32"/>
              </w:rPr>
              <w:t>La Chose</w:t>
            </w:r>
          </w:p>
        </w:tc>
        <w:tc>
          <w:tcPr>
            <w:tcW w:w="5077" w:type="dxa"/>
            <w:tcBorders>
              <w:top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كل ما يمكن أن يكون محلا للحقوق وقابلا للتعامل فيه بطبيعته أو بحكم القانون</w:t>
            </w:r>
          </w:p>
        </w:tc>
      </w:tr>
      <w:tr w:rsidR="00EC6CE8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25</w:t>
            </w:r>
          </w:p>
        </w:tc>
        <w:tc>
          <w:tcPr>
            <w:tcW w:w="191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العين (الأعيان)</w:t>
            </w:r>
          </w:p>
        </w:tc>
        <w:tc>
          <w:tcPr>
            <w:tcW w:w="26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Les Coros</w:t>
            </w:r>
          </w:p>
        </w:tc>
        <w:tc>
          <w:tcPr>
            <w:tcW w:w="507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أشياء لا يقوم بعضها مقام بعض عند الوفاء</w:t>
            </w:r>
          </w:p>
        </w:tc>
      </w:tr>
      <w:tr w:rsidR="00EC6CE8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26</w:t>
            </w:r>
          </w:p>
        </w:tc>
        <w:tc>
          <w:tcPr>
            <w:tcW w:w="191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رأس المال</w:t>
            </w:r>
          </w:p>
        </w:tc>
        <w:tc>
          <w:tcPr>
            <w:tcW w:w="26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Capital</w:t>
            </w:r>
          </w:p>
        </w:tc>
        <w:tc>
          <w:tcPr>
            <w:tcW w:w="507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وهي الأموال والمواد والأدوات اللازمة لإنشاء نشاط اقتصادي أو تجاري بهدف تحقيق الربح</w:t>
            </w:r>
          </w:p>
        </w:tc>
      </w:tr>
      <w:tr w:rsidR="00EC6CE8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27</w:t>
            </w:r>
          </w:p>
        </w:tc>
        <w:tc>
          <w:tcPr>
            <w:tcW w:w="191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ربح</w:t>
            </w:r>
          </w:p>
        </w:tc>
        <w:tc>
          <w:tcPr>
            <w:tcW w:w="26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Profit</w:t>
            </w:r>
          </w:p>
        </w:tc>
        <w:tc>
          <w:tcPr>
            <w:tcW w:w="507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الفائض الإيجابي المتحصل من الفرق بين النفقات والإيرادات لنشاط معين</w:t>
            </w:r>
          </w:p>
        </w:tc>
      </w:tr>
      <w:tr w:rsidR="00EC6CE8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28</w:t>
            </w:r>
          </w:p>
        </w:tc>
        <w:tc>
          <w:tcPr>
            <w:tcW w:w="191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خسارة</w:t>
            </w:r>
          </w:p>
        </w:tc>
        <w:tc>
          <w:tcPr>
            <w:tcW w:w="26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Perte</w:t>
            </w:r>
          </w:p>
        </w:tc>
        <w:tc>
          <w:tcPr>
            <w:tcW w:w="507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تجاوز قيمة نفقات الشركة لإيراداتها</w:t>
            </w:r>
          </w:p>
        </w:tc>
      </w:tr>
      <w:tr w:rsidR="00EC6CE8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29</w:t>
            </w:r>
          </w:p>
        </w:tc>
        <w:tc>
          <w:tcPr>
            <w:tcW w:w="191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  <w:lang w:bidi="ar-DZ"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  <w:lang w:bidi="ar-DZ"/>
              </w:rPr>
              <w:t>الجنائي يوقف المدني</w:t>
            </w:r>
          </w:p>
        </w:tc>
        <w:tc>
          <w:tcPr>
            <w:tcW w:w="26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Le Criminel tient le Civil en état</w:t>
            </w:r>
          </w:p>
        </w:tc>
        <w:tc>
          <w:tcPr>
            <w:tcW w:w="507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  <w:lang w:bidi="ar-DZ"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  <w:lang w:bidi="ar-DZ"/>
              </w:rPr>
              <w:t>مبدأ قضائي يوجب وقف الفصل في الدعوى المدنية حتى يتم الفصل في الدعوى الجنائية المتعلقة بنفس الوقائع.</w:t>
            </w:r>
          </w:p>
        </w:tc>
      </w:tr>
      <w:tr w:rsidR="00EC6CE8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30</w:t>
            </w:r>
          </w:p>
        </w:tc>
        <w:tc>
          <w:tcPr>
            <w:tcW w:w="191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الأهلية</w:t>
            </w:r>
          </w:p>
        </w:tc>
        <w:tc>
          <w:tcPr>
            <w:tcW w:w="26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Capacité</w:t>
            </w:r>
          </w:p>
        </w:tc>
        <w:tc>
          <w:tcPr>
            <w:tcW w:w="507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  <w:lang w:bidi="ar-DZ"/>
              </w:rPr>
              <w:t>قدرة الشخص على مباشرة التصرفات القانونية لحساب نفسه.</w:t>
            </w:r>
          </w:p>
        </w:tc>
      </w:tr>
      <w:tr w:rsidR="00EC6CE8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lastRenderedPageBreak/>
              <w:t>31</w:t>
            </w:r>
          </w:p>
        </w:tc>
        <w:tc>
          <w:tcPr>
            <w:tcW w:w="191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أهلية الوجوب</w:t>
            </w:r>
          </w:p>
        </w:tc>
        <w:tc>
          <w:tcPr>
            <w:tcW w:w="26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ind w:firstLine="0"/>
              <w:jc w:val="left"/>
              <w:rPr>
                <w:rFonts w:cs="Simplified Arabic"/>
                <w:sz w:val="32"/>
                <w:szCs w:val="32"/>
              </w:rPr>
            </w:pPr>
            <w:r w:rsidRPr="008F025D">
              <w:rPr>
                <w:rFonts w:cs="Simplified Arabic"/>
                <w:sz w:val="32"/>
                <w:szCs w:val="32"/>
              </w:rPr>
              <w:t>Capacité de s’obliger</w:t>
            </w:r>
          </w:p>
        </w:tc>
        <w:tc>
          <w:tcPr>
            <w:tcW w:w="507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 xml:space="preserve">أهلية الشخص لأن يلزم نفسه بالتزام معين. </w:t>
            </w:r>
          </w:p>
        </w:tc>
      </w:tr>
      <w:tr w:rsidR="00EC6CE8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32</w:t>
            </w:r>
          </w:p>
        </w:tc>
        <w:tc>
          <w:tcPr>
            <w:tcW w:w="191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أهلية الأداء</w:t>
            </w:r>
          </w:p>
        </w:tc>
        <w:tc>
          <w:tcPr>
            <w:tcW w:w="26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Capacité d’exercice</w:t>
            </w:r>
          </w:p>
        </w:tc>
        <w:tc>
          <w:tcPr>
            <w:tcW w:w="507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صلاحية الشخص لإبرام تصرفات قانونية صحيحة.</w:t>
            </w:r>
          </w:p>
        </w:tc>
      </w:tr>
      <w:tr w:rsidR="00EC6CE8" w:rsidRPr="008F025D" w:rsidTr="002247CA">
        <w:trPr>
          <w:cantSplit/>
        </w:trPr>
        <w:tc>
          <w:tcPr>
            <w:tcW w:w="665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33</w:t>
            </w:r>
          </w:p>
        </w:tc>
        <w:tc>
          <w:tcPr>
            <w:tcW w:w="1910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إيجاب</w:t>
            </w:r>
          </w:p>
        </w:tc>
        <w:tc>
          <w:tcPr>
            <w:tcW w:w="2662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Offre</w:t>
            </w:r>
          </w:p>
        </w:tc>
        <w:tc>
          <w:tcPr>
            <w:tcW w:w="5077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العرض الذي يصدر أولا بقصد إنشاء العقد.</w:t>
            </w:r>
          </w:p>
        </w:tc>
      </w:tr>
      <w:tr w:rsidR="00EC6CE8" w:rsidRPr="008F025D" w:rsidTr="002247C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34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قبول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Acceptation</w:t>
            </w:r>
          </w:p>
        </w:tc>
        <w:tc>
          <w:tcPr>
            <w:tcW w:w="5077" w:type="dxa"/>
            <w:tcBorders>
              <w:bottom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EC6CE8" w:rsidRPr="008F025D" w:rsidRDefault="00EC6CE8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هو الإرادة الثانية التي تصدر موافقة للإيجاب.</w:t>
            </w:r>
          </w:p>
        </w:tc>
      </w:tr>
    </w:tbl>
    <w:p w:rsidR="0071144A" w:rsidRDefault="0071144A" w:rsidP="00EC6CE8">
      <w:pPr>
        <w:bidi/>
      </w:pPr>
    </w:p>
    <w:sectPr w:rsidR="0071144A" w:rsidSect="00EC6CE8">
      <w:footerReference w:type="default" r:id="rId6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1D7" w:rsidRDefault="004741D7" w:rsidP="00EC6CE8">
      <w:pPr>
        <w:spacing w:line="240" w:lineRule="auto"/>
      </w:pPr>
      <w:r>
        <w:separator/>
      </w:r>
    </w:p>
  </w:endnote>
  <w:endnote w:type="continuationSeparator" w:id="1">
    <w:p w:rsidR="004741D7" w:rsidRDefault="004741D7" w:rsidP="00EC6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CE8" w:rsidRPr="00EC6CE8" w:rsidRDefault="00EC6CE8" w:rsidP="00EC6CE8">
    <w:pPr>
      <w:pStyle w:val="Pieddepage"/>
      <w:jc w:val="right"/>
      <w:rPr>
        <w:rFonts w:ascii="Segoe UI" w:hAnsi="Segoe UI" w:cs="Segoe UI"/>
        <w:sz w:val="16"/>
        <w:szCs w:val="16"/>
        <w:lang w:bidi="ar-DZ"/>
      </w:rPr>
    </w:pPr>
    <w:r w:rsidRPr="00EC6CE8">
      <w:rPr>
        <w:rFonts w:ascii="Segoe UI" w:hAnsi="Segoe UI" w:cs="Segoe UI"/>
        <w:sz w:val="16"/>
        <w:szCs w:val="16"/>
        <w:rtl/>
        <w:lang w:bidi="ar-DZ"/>
      </w:rPr>
      <w:t>الأستاذ : مقراني نور الدين</w:t>
    </w:r>
  </w:p>
  <w:p w:rsidR="00EC6CE8" w:rsidRDefault="00EC6CE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1D7" w:rsidRDefault="004741D7" w:rsidP="00EC6CE8">
      <w:pPr>
        <w:spacing w:line="240" w:lineRule="auto"/>
      </w:pPr>
      <w:r>
        <w:separator/>
      </w:r>
    </w:p>
  </w:footnote>
  <w:footnote w:type="continuationSeparator" w:id="1">
    <w:p w:rsidR="004741D7" w:rsidRDefault="004741D7" w:rsidP="00EC6C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gGgMnIcPQtblFRm1Umx9ySHXlz8=" w:salt="llOO7tO2ajWOMOsmEG/hYw==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CE8"/>
    <w:rsid w:val="004741D7"/>
    <w:rsid w:val="0071144A"/>
    <w:rsid w:val="00EC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E8"/>
    <w:pPr>
      <w:spacing w:after="0" w:line="360" w:lineRule="auto"/>
      <w:ind w:firstLine="397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C6CE8"/>
    <w:pPr>
      <w:spacing w:after="0" w:line="240" w:lineRule="auto"/>
      <w:ind w:firstLine="39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C6CE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6CE8"/>
  </w:style>
  <w:style w:type="paragraph" w:styleId="Pieddepage">
    <w:name w:val="footer"/>
    <w:basedOn w:val="Normal"/>
    <w:link w:val="PieddepageCar"/>
    <w:uiPriority w:val="99"/>
    <w:unhideWhenUsed/>
    <w:rsid w:val="00EC6CE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6CE8"/>
  </w:style>
  <w:style w:type="paragraph" w:styleId="Textedebulles">
    <w:name w:val="Balloon Text"/>
    <w:basedOn w:val="Normal"/>
    <w:link w:val="TextedebullesCar"/>
    <w:uiPriority w:val="99"/>
    <w:semiHidden/>
    <w:unhideWhenUsed/>
    <w:rsid w:val="00EC6C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790</Characters>
  <Application>Microsoft Office Word</Application>
  <DocSecurity>8</DocSecurity>
  <Lines>6</Lines>
  <Paragraphs>1</Paragraphs>
  <ScaleCrop>false</ScaleCrop>
  <Company>HP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1</cp:revision>
  <dcterms:created xsi:type="dcterms:W3CDTF">2023-12-25T21:46:00Z</dcterms:created>
  <dcterms:modified xsi:type="dcterms:W3CDTF">2023-12-25T21:49:00Z</dcterms:modified>
</cp:coreProperties>
</file>