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314" w:type="dxa"/>
        <w:tblLook w:val="04A0"/>
      </w:tblPr>
      <w:tblGrid>
        <w:gridCol w:w="665"/>
        <w:gridCol w:w="1773"/>
        <w:gridCol w:w="3616"/>
        <w:gridCol w:w="4260"/>
      </w:tblGrid>
      <w:tr w:rsidR="00CD55F7" w:rsidRPr="008F025D" w:rsidTr="002247CA">
        <w:trPr>
          <w:cantSplit/>
        </w:trPr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المحاضرة الثالثة</w:t>
            </w:r>
          </w:p>
        </w:tc>
      </w:tr>
      <w:tr w:rsidR="00CD55F7" w:rsidRPr="008F025D" w:rsidTr="002247CA">
        <w:trPr>
          <w:cantSplit/>
        </w:trPr>
        <w:tc>
          <w:tcPr>
            <w:tcW w:w="665" w:type="dxa"/>
            <w:tcBorders>
              <w:top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rPr>
                <w:rFonts w:cs="Simplified Arabic"/>
                <w:sz w:val="32"/>
                <w:szCs w:val="32"/>
              </w:rPr>
            </w:pPr>
            <w:r w:rsidRPr="008F025D">
              <w:rPr>
                <w:rFonts w:cs="Simplified Arabic"/>
                <w:sz w:val="32"/>
                <w:szCs w:val="32"/>
              </w:rPr>
              <w:t>17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المسؤولية التقصيرية</w:t>
            </w:r>
          </w:p>
        </w:tc>
        <w:tc>
          <w:tcPr>
            <w:tcW w:w="2662" w:type="dxa"/>
            <w:tcBorders>
              <w:top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ind w:firstLine="0"/>
              <w:jc w:val="left"/>
              <w:rPr>
                <w:rFonts w:cs="Simplified Arabic"/>
                <w:sz w:val="32"/>
                <w:szCs w:val="32"/>
              </w:rPr>
            </w:pPr>
            <w:r w:rsidRPr="008F025D">
              <w:rPr>
                <w:rFonts w:cs="Simplified Arabic"/>
                <w:sz w:val="32"/>
                <w:szCs w:val="32"/>
              </w:rPr>
              <w:t>ResponsabilitéDélictuelle</w:t>
            </w:r>
          </w:p>
        </w:tc>
        <w:tc>
          <w:tcPr>
            <w:tcW w:w="5077" w:type="dxa"/>
            <w:tcBorders>
              <w:top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مسؤولية تنشأ عن الضرر الذي سببه شخص لآخر بفعله أو بفعل الذين هم تحت رقابته أو بفعل الأشياء التي تحت حراسته</w:t>
            </w:r>
          </w:p>
        </w:tc>
      </w:tr>
      <w:tr w:rsidR="00CD55F7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18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المسؤولية الناشئة عن الأشياء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Responsabilité du fait des Choses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مسؤولية تقع بفعل الأشياء التي تحت حراسة شخص معين</w:t>
            </w:r>
          </w:p>
        </w:tc>
      </w:tr>
      <w:tr w:rsidR="00CD55F7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19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المسؤولية عن العمل الشخصي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Responsabilitédu fait personnel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مسؤولية الشخص عن الضرر الذي يحدثه بخطأ شخصي</w:t>
            </w:r>
          </w:p>
        </w:tc>
      </w:tr>
      <w:tr w:rsidR="00CD55F7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20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المسؤولية عن عمل الغير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  <w:lang w:val="en-GB"/>
              </w:rPr>
              <w:t>Responsabilité du fait d’autrui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مسؤولية الشخص عن فعل يقع من الغير الذي تحت رقابته</w:t>
            </w:r>
          </w:p>
        </w:tc>
      </w:tr>
      <w:tr w:rsidR="00CD55F7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21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المسؤولية العقدية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Responsabilité Contractuelle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مسؤولية تنشأ عن إخلال بالتزام تعاقدي</w:t>
            </w:r>
          </w:p>
        </w:tc>
      </w:tr>
      <w:tr w:rsidR="00CD55F7" w:rsidRPr="008F025D" w:rsidTr="002247CA">
        <w:trPr>
          <w:cantSplit/>
        </w:trPr>
        <w:tc>
          <w:tcPr>
            <w:tcW w:w="665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lastRenderedPageBreak/>
              <w:t>22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المسؤولية الجزائية</w:t>
            </w:r>
          </w:p>
        </w:tc>
        <w:tc>
          <w:tcPr>
            <w:tcW w:w="2662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Responsabilité Pénale</w:t>
            </w:r>
          </w:p>
        </w:tc>
        <w:tc>
          <w:tcPr>
            <w:tcW w:w="5077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مسؤولية تترتب عن الخطأ الجرمي الذي يمكن أن يتوافر عند الشخص المدرك لأعماله والمختار في تصرفاته</w:t>
            </w:r>
          </w:p>
        </w:tc>
      </w:tr>
      <w:tr w:rsidR="00CD55F7" w:rsidRPr="008F025D" w:rsidTr="00CD55F7">
        <w:trPr>
          <w:cantSplit/>
        </w:trPr>
        <w:tc>
          <w:tcPr>
            <w:tcW w:w="665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rPr>
                <w:rFonts w:cs="Simplified Arabic"/>
                <w:sz w:val="16"/>
                <w:szCs w:val="16"/>
                <w:rtl/>
              </w:rPr>
            </w:pPr>
          </w:p>
        </w:tc>
        <w:tc>
          <w:tcPr>
            <w:tcW w:w="1910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jc w:val="left"/>
              <w:rPr>
                <w:rFonts w:cs="Simplified Arabic"/>
                <w:sz w:val="16"/>
                <w:szCs w:val="16"/>
                <w:rtl/>
              </w:rPr>
            </w:pPr>
          </w:p>
        </w:tc>
        <w:tc>
          <w:tcPr>
            <w:tcW w:w="2662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ind w:firstLine="0"/>
              <w:jc w:val="left"/>
              <w:rPr>
                <w:rFonts w:cs="Simplified Arabic"/>
                <w:sz w:val="16"/>
                <w:szCs w:val="16"/>
                <w:lang w:val="en-GB"/>
              </w:rPr>
            </w:pPr>
          </w:p>
        </w:tc>
        <w:tc>
          <w:tcPr>
            <w:tcW w:w="5077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rPr>
                <w:rFonts w:cs="Simplified Arabic"/>
                <w:sz w:val="16"/>
                <w:szCs w:val="16"/>
                <w:rtl/>
              </w:rPr>
            </w:pPr>
          </w:p>
        </w:tc>
      </w:tr>
      <w:tr w:rsidR="00CD55F7" w:rsidRPr="008F025D" w:rsidTr="00CD55F7">
        <w:trPr>
          <w:cantSplit/>
          <w:trHeight w:val="1806"/>
        </w:trPr>
        <w:tc>
          <w:tcPr>
            <w:tcW w:w="665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23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حجية الشيء المقضي فيه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9D7965" w:rsidRDefault="00CD55F7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9D7965">
              <w:rPr>
                <w:rFonts w:cs="Simplified Arabic"/>
                <w:sz w:val="32"/>
                <w:szCs w:val="32"/>
              </w:rPr>
              <w:t>Autorité de la chose jugée</w:t>
            </w:r>
          </w:p>
        </w:tc>
        <w:tc>
          <w:tcPr>
            <w:tcW w:w="5077" w:type="dxa"/>
            <w:tcBorders>
              <w:bottom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D55F7" w:rsidRPr="008F025D" w:rsidRDefault="00CD55F7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وهو مبدأ قضائي يقصد به: ما يسلم به للأحكام القضائية من صحة ما تضمنته من أحكام، وسلامة ما اتبع في إصدارها من إجراءات، لمنع العودة للمخاصمة فيما قضت فيه</w:t>
            </w:r>
          </w:p>
        </w:tc>
      </w:tr>
    </w:tbl>
    <w:p w:rsidR="0071144A" w:rsidRDefault="0071144A" w:rsidP="00CD55F7">
      <w:pPr>
        <w:bidi/>
      </w:pPr>
    </w:p>
    <w:sectPr w:rsidR="0071144A" w:rsidSect="00CD55F7">
      <w:footerReference w:type="default" r:id="rId6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972" w:rsidRDefault="005A4972" w:rsidP="00CD55F7">
      <w:pPr>
        <w:spacing w:line="240" w:lineRule="auto"/>
      </w:pPr>
      <w:r>
        <w:separator/>
      </w:r>
    </w:p>
  </w:endnote>
  <w:endnote w:type="continuationSeparator" w:id="1">
    <w:p w:rsidR="005A4972" w:rsidRDefault="005A4972" w:rsidP="00CD5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5F7" w:rsidRPr="00CD55F7" w:rsidRDefault="00CD55F7" w:rsidP="00CD55F7">
    <w:pPr>
      <w:pStyle w:val="Pieddepage"/>
      <w:jc w:val="right"/>
      <w:rPr>
        <w:rFonts w:ascii="Segoe UI" w:hAnsi="Segoe UI" w:cs="Segoe UI"/>
        <w:sz w:val="16"/>
        <w:szCs w:val="16"/>
        <w:lang w:bidi="ar-DZ"/>
      </w:rPr>
    </w:pPr>
    <w:r w:rsidRPr="000872BD">
      <w:rPr>
        <w:rFonts w:ascii="Segoe UI" w:hAnsi="Segoe UI" w:cs="Segoe UI"/>
        <w:sz w:val="16"/>
        <w:szCs w:val="16"/>
        <w:rtl/>
        <w:lang w:bidi="ar-DZ"/>
      </w:rPr>
      <w:t>الأستاذ : مقراني نور الدين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972" w:rsidRDefault="005A4972" w:rsidP="00CD55F7">
      <w:pPr>
        <w:spacing w:line="240" w:lineRule="auto"/>
      </w:pPr>
      <w:r>
        <w:separator/>
      </w:r>
    </w:p>
  </w:footnote>
  <w:footnote w:type="continuationSeparator" w:id="1">
    <w:p w:rsidR="005A4972" w:rsidRDefault="005A4972" w:rsidP="00CD55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readOnly" w:enforcement="1" w:cryptProviderType="rsaFull" w:cryptAlgorithmClass="hash" w:cryptAlgorithmType="typeAny" w:cryptAlgorithmSid="4" w:cryptSpinCount="50000" w:hash="W0fXhuw3hosQ+QjZLpzv7xjbDRY=" w:salt="X0LLoq3OQVBcNXfLxUrp0g==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5F7"/>
    <w:rsid w:val="005A4972"/>
    <w:rsid w:val="0071144A"/>
    <w:rsid w:val="00CD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F7"/>
    <w:pPr>
      <w:spacing w:after="0" w:line="360" w:lineRule="auto"/>
      <w:ind w:firstLine="39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55F7"/>
    <w:pPr>
      <w:spacing w:after="0" w:line="240" w:lineRule="auto"/>
      <w:ind w:firstLine="39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D55F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55F7"/>
  </w:style>
  <w:style w:type="paragraph" w:styleId="Pieddepage">
    <w:name w:val="footer"/>
    <w:basedOn w:val="Normal"/>
    <w:link w:val="PieddepageCar"/>
    <w:uiPriority w:val="99"/>
    <w:unhideWhenUsed/>
    <w:rsid w:val="00CD55F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5F7"/>
  </w:style>
  <w:style w:type="paragraph" w:styleId="Textedebulles">
    <w:name w:val="Balloon Text"/>
    <w:basedOn w:val="Normal"/>
    <w:link w:val="TextedebullesCar"/>
    <w:uiPriority w:val="99"/>
    <w:semiHidden/>
    <w:unhideWhenUsed/>
    <w:rsid w:val="00CD55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799</Characters>
  <Application>Microsoft Office Word</Application>
  <DocSecurity>8</DocSecurity>
  <Lines>6</Lines>
  <Paragraphs>1</Paragraphs>
  <ScaleCrop>false</ScaleCrop>
  <Company>HP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1</cp:revision>
  <dcterms:created xsi:type="dcterms:W3CDTF">2023-12-25T21:41:00Z</dcterms:created>
  <dcterms:modified xsi:type="dcterms:W3CDTF">2023-12-25T21:45:00Z</dcterms:modified>
</cp:coreProperties>
</file>