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85" w:rsidRDefault="00140812" w:rsidP="00140812">
      <w:pPr>
        <w:spacing w:after="0"/>
        <w:rPr>
          <w:rFonts w:ascii="Comic Sans MS" w:hAnsi="Comic Sans MS"/>
          <w:b/>
          <w:bCs/>
          <w:sz w:val="24"/>
          <w:szCs w:val="24"/>
          <w:lang w:val="en-GB"/>
        </w:rPr>
      </w:pPr>
      <w:proofErr w:type="spellStart"/>
      <w:r w:rsidRPr="00140812">
        <w:rPr>
          <w:rFonts w:ascii="Comic Sans MS" w:hAnsi="Comic Sans MS"/>
          <w:b/>
          <w:bCs/>
          <w:sz w:val="24"/>
          <w:szCs w:val="24"/>
          <w:lang w:val="en-GB"/>
        </w:rPr>
        <w:t>A.Correct</w:t>
      </w:r>
      <w:proofErr w:type="spellEnd"/>
      <w:r w:rsidRPr="00140812">
        <w:rPr>
          <w:rFonts w:ascii="Comic Sans MS" w:hAnsi="Comic Sans MS"/>
          <w:b/>
          <w:bCs/>
          <w:sz w:val="24"/>
          <w:szCs w:val="24"/>
          <w:lang w:val="en-GB"/>
        </w:rPr>
        <w:t xml:space="preserve"> mistakes in the following reference list according to APA style.</w:t>
      </w:r>
    </w:p>
    <w:p w:rsidR="00140812" w:rsidRPr="00140812" w:rsidRDefault="00140812" w:rsidP="00140812">
      <w:pPr>
        <w:rPr>
          <w:rFonts w:ascii="Comic Sans MS" w:hAnsi="Comic Sans MS"/>
          <w:b/>
          <w:bCs/>
          <w:sz w:val="24"/>
          <w:szCs w:val="24"/>
          <w:lang w:val="en-GB"/>
        </w:rPr>
      </w:pPr>
      <w:r w:rsidRPr="00140812">
        <w:rPr>
          <w:rFonts w:ascii="Comic Sans MS" w:hAnsi="Comic Sans MS"/>
          <w:b/>
          <w:bCs/>
          <w:sz w:val="24"/>
          <w:szCs w:val="24"/>
          <w:lang w:val="en-GB"/>
        </w:rPr>
        <w:t>Bibliography</w:t>
      </w:r>
    </w:p>
    <w:p w:rsidR="00140812" w:rsidRPr="00140812" w:rsidRDefault="00140812" w:rsidP="00140812">
      <w:pPr>
        <w:rPr>
          <w:rFonts w:ascii="Comic Sans MS" w:hAnsi="Comic Sans MS"/>
          <w:sz w:val="24"/>
          <w:szCs w:val="24"/>
          <w:lang w:val="en-GB"/>
        </w:rPr>
      </w:pPr>
      <w:r w:rsidRPr="00140812">
        <w:rPr>
          <w:rFonts w:ascii="Comic Sans MS" w:hAnsi="Comic Sans MS"/>
          <w:sz w:val="24"/>
          <w:szCs w:val="24"/>
          <w:lang w:val="en-GB"/>
        </w:rPr>
        <w:t>Investigations in Instructed Second Language Acquisi</w:t>
      </w:r>
      <w:r>
        <w:rPr>
          <w:rFonts w:ascii="Comic Sans MS" w:hAnsi="Comic Sans MS"/>
          <w:sz w:val="24"/>
          <w:szCs w:val="24"/>
          <w:lang w:val="en-GB"/>
        </w:rPr>
        <w:t xml:space="preserve">tion. </w:t>
      </w:r>
      <w:proofErr w:type="gramStart"/>
      <w:r>
        <w:rPr>
          <w:rFonts w:ascii="Comic Sans MS" w:hAnsi="Comic Sans MS"/>
          <w:sz w:val="24"/>
          <w:szCs w:val="24"/>
          <w:lang w:val="en-GB"/>
        </w:rPr>
        <w:t xml:space="preserve">Edited by </w:t>
      </w:r>
      <w:proofErr w:type="spellStart"/>
      <w:r>
        <w:rPr>
          <w:rFonts w:ascii="Comic Sans MS" w:hAnsi="Comic Sans MS"/>
          <w:sz w:val="24"/>
          <w:szCs w:val="24"/>
          <w:lang w:val="en-GB"/>
        </w:rPr>
        <w:t>Houson</w:t>
      </w:r>
      <w:proofErr w:type="spellEnd"/>
      <w:r>
        <w:rPr>
          <w:rFonts w:ascii="Comic Sans MS" w:hAnsi="Comic Sans MS"/>
          <w:sz w:val="24"/>
          <w:szCs w:val="24"/>
          <w:lang w:val="en-GB"/>
        </w:rPr>
        <w:t xml:space="preserve">, A. and </w:t>
      </w:r>
      <w:proofErr w:type="spellStart"/>
      <w:r w:rsidRPr="00140812">
        <w:rPr>
          <w:rFonts w:ascii="Comic Sans MS" w:hAnsi="Comic Sans MS"/>
          <w:sz w:val="24"/>
          <w:szCs w:val="24"/>
          <w:lang w:val="en-GB"/>
        </w:rPr>
        <w:t>Pierrard</w:t>
      </w:r>
      <w:proofErr w:type="spellEnd"/>
      <w:r w:rsidRPr="00140812">
        <w:rPr>
          <w:rFonts w:ascii="Comic Sans MS" w:hAnsi="Comic Sans MS"/>
          <w:sz w:val="24"/>
          <w:szCs w:val="24"/>
          <w:lang w:val="en-GB"/>
        </w:rPr>
        <w:t xml:space="preserve">, M. Berlin: Mouton de </w:t>
      </w:r>
      <w:proofErr w:type="spellStart"/>
      <w:r w:rsidRPr="00140812">
        <w:rPr>
          <w:rFonts w:ascii="Comic Sans MS" w:hAnsi="Comic Sans MS"/>
          <w:sz w:val="24"/>
          <w:szCs w:val="24"/>
          <w:lang w:val="en-GB"/>
        </w:rPr>
        <w:t>Gruyter</w:t>
      </w:r>
      <w:proofErr w:type="spellEnd"/>
      <w:r w:rsidRPr="00140812">
        <w:rPr>
          <w:rFonts w:ascii="Comic Sans MS" w:hAnsi="Comic Sans MS"/>
          <w:sz w:val="24"/>
          <w:szCs w:val="24"/>
          <w:lang w:val="en-GB"/>
        </w:rPr>
        <w:t>, 2005.</w:t>
      </w:r>
      <w:proofErr w:type="gramEnd"/>
    </w:p>
    <w:p w:rsidR="00140812" w:rsidRPr="00140812" w:rsidRDefault="00140812" w:rsidP="00140812">
      <w:pPr>
        <w:rPr>
          <w:rFonts w:ascii="Comic Sans MS" w:hAnsi="Comic Sans MS"/>
          <w:sz w:val="24"/>
          <w:szCs w:val="24"/>
          <w:lang w:val="en-GB"/>
        </w:rPr>
      </w:pPr>
      <w:r w:rsidRPr="00140812">
        <w:rPr>
          <w:rFonts w:ascii="Comic Sans MS" w:hAnsi="Comic Sans MS"/>
          <w:sz w:val="24"/>
          <w:szCs w:val="24"/>
          <w:lang w:val="en-GB"/>
        </w:rPr>
        <w:t>Tony Silva. (1990). Second Language Composition Instruction: Developments, Issues, and Directions in ESL. In Barbara Kroll, Second language writing: Research insights for the classroom (Ed.), pp. 11-23. New York: Cambridge University Press.</w:t>
      </w:r>
    </w:p>
    <w:p w:rsidR="00140812" w:rsidRDefault="00140812" w:rsidP="00140812">
      <w:pPr>
        <w:rPr>
          <w:rFonts w:ascii="Comic Sans MS" w:hAnsi="Comic Sans MS"/>
          <w:sz w:val="24"/>
          <w:szCs w:val="24"/>
          <w:lang w:val="en-GB"/>
        </w:rPr>
      </w:pPr>
      <w:r w:rsidRPr="00140812">
        <w:rPr>
          <w:rFonts w:ascii="Comic Sans MS" w:hAnsi="Comic Sans MS"/>
          <w:sz w:val="24"/>
          <w:szCs w:val="24"/>
          <w:lang w:val="en-GB"/>
        </w:rPr>
        <w:t xml:space="preserve">Hudson, R. (2001). Grammar Teaching and Writing Skills: The Research Evidence. </w:t>
      </w:r>
      <w:proofErr w:type="gramStart"/>
      <w:r w:rsidRPr="00140812">
        <w:rPr>
          <w:rFonts w:ascii="Comic Sans MS" w:hAnsi="Comic Sans MS"/>
          <w:sz w:val="24"/>
          <w:szCs w:val="24"/>
          <w:lang w:val="en-GB"/>
        </w:rPr>
        <w:t>Syntax in the Schools, vol. 17, pp.1-6.</w:t>
      </w:r>
      <w:proofErr w:type="gramEnd"/>
    </w:p>
    <w:p w:rsidR="00C4541A" w:rsidRPr="00C4541A" w:rsidRDefault="00C4541A" w:rsidP="00C4541A">
      <w:pPr>
        <w:rPr>
          <w:rFonts w:ascii="Comic Sans MS" w:hAnsi="Comic Sans MS"/>
          <w:b/>
          <w:bCs/>
          <w:sz w:val="24"/>
          <w:szCs w:val="24"/>
          <w:lang w:val="en-GB"/>
        </w:rPr>
      </w:pPr>
      <w:bookmarkStart w:id="0" w:name="_GoBack"/>
      <w:r w:rsidRPr="00C4541A">
        <w:rPr>
          <w:rFonts w:ascii="Comic Sans MS" w:hAnsi="Comic Sans MS"/>
          <w:b/>
          <w:bCs/>
          <w:sz w:val="24"/>
          <w:szCs w:val="24"/>
          <w:lang w:val="en-GB"/>
        </w:rPr>
        <w:t>B.</w:t>
      </w:r>
      <w:r w:rsidRPr="00C4541A">
        <w:rPr>
          <w:rFonts w:ascii="Comic Sans MS" w:hAnsi="Comic Sans MS"/>
          <w:b/>
          <w:bCs/>
          <w:sz w:val="24"/>
          <w:szCs w:val="24"/>
          <w:lang w:val="en-GB"/>
        </w:rPr>
        <w:tab/>
        <w:t>Give the appropriate APA reference form.</w:t>
      </w:r>
    </w:p>
    <w:bookmarkEnd w:id="0"/>
    <w:p w:rsidR="00C4541A" w:rsidRPr="00C4541A" w:rsidRDefault="00C4541A" w:rsidP="00C4541A">
      <w:pPr>
        <w:rPr>
          <w:rFonts w:ascii="Comic Sans MS" w:hAnsi="Comic Sans MS"/>
          <w:sz w:val="24"/>
          <w:szCs w:val="24"/>
          <w:lang w:val="en-GB"/>
        </w:rPr>
      </w:pPr>
      <w:r w:rsidRPr="00C4541A">
        <w:rPr>
          <w:rFonts w:ascii="Comic Sans MS" w:hAnsi="Comic Sans MS"/>
          <w:sz w:val="24"/>
          <w:szCs w:val="24"/>
          <w:lang w:val="en-GB"/>
        </w:rPr>
        <w:t>1.</w:t>
      </w:r>
      <w:r w:rsidRPr="00C4541A">
        <w:rPr>
          <w:rFonts w:ascii="Comic Sans MS" w:hAnsi="Comic Sans MS"/>
          <w:sz w:val="24"/>
          <w:szCs w:val="24"/>
          <w:lang w:val="en-GB"/>
        </w:rPr>
        <w:tab/>
        <w:t xml:space="preserve">Jeremy Harmer’s third edition of The Practice of English Language Teaching was published in 2001 by Longman, the </w:t>
      </w:r>
      <w:proofErr w:type="spellStart"/>
      <w:r w:rsidRPr="00C4541A">
        <w:rPr>
          <w:rFonts w:ascii="Comic Sans MS" w:hAnsi="Comic Sans MS"/>
          <w:sz w:val="24"/>
          <w:szCs w:val="24"/>
          <w:lang w:val="en-GB"/>
        </w:rPr>
        <w:t>well known</w:t>
      </w:r>
      <w:proofErr w:type="spellEnd"/>
      <w:r>
        <w:rPr>
          <w:rFonts w:ascii="Comic Sans MS" w:hAnsi="Comic Sans MS"/>
          <w:sz w:val="24"/>
          <w:szCs w:val="24"/>
          <w:lang w:val="en-GB"/>
        </w:rPr>
        <w:t xml:space="preserve"> </w:t>
      </w:r>
      <w:r w:rsidRPr="00C4541A">
        <w:rPr>
          <w:rFonts w:ascii="Comic Sans MS" w:hAnsi="Comic Sans MS"/>
          <w:sz w:val="24"/>
          <w:szCs w:val="24"/>
          <w:lang w:val="en-GB"/>
        </w:rPr>
        <w:t>New York publishing house.</w:t>
      </w:r>
    </w:p>
    <w:p w:rsidR="00C4541A" w:rsidRPr="00C4541A" w:rsidRDefault="00C4541A" w:rsidP="00C4541A">
      <w:pPr>
        <w:rPr>
          <w:rFonts w:ascii="Comic Sans MS" w:hAnsi="Comic Sans MS"/>
          <w:sz w:val="24"/>
          <w:szCs w:val="24"/>
          <w:lang w:val="en-GB"/>
        </w:rPr>
      </w:pPr>
      <w:r w:rsidRPr="00C4541A">
        <w:rPr>
          <w:rFonts w:ascii="Comic Sans MS" w:hAnsi="Comic Sans MS"/>
          <w:sz w:val="24"/>
          <w:szCs w:val="24"/>
          <w:lang w:val="en-GB"/>
        </w:rPr>
        <w:t>2.</w:t>
      </w:r>
      <w:r w:rsidRPr="00C4541A">
        <w:rPr>
          <w:rFonts w:ascii="Comic Sans MS" w:hAnsi="Comic Sans MS"/>
          <w:sz w:val="24"/>
          <w:szCs w:val="24"/>
          <w:lang w:val="en-GB"/>
        </w:rPr>
        <w:tab/>
        <w:t xml:space="preserve">Oxford University Press published a work called How Languages Are Learned by Pasty M </w:t>
      </w:r>
      <w:proofErr w:type="spellStart"/>
      <w:r w:rsidRPr="00C4541A">
        <w:rPr>
          <w:rFonts w:ascii="Comic Sans MS" w:hAnsi="Comic Sans MS"/>
          <w:sz w:val="24"/>
          <w:szCs w:val="24"/>
          <w:lang w:val="en-GB"/>
        </w:rPr>
        <w:t>Lightbown</w:t>
      </w:r>
      <w:proofErr w:type="spellEnd"/>
      <w:r w:rsidRPr="00C4541A">
        <w:rPr>
          <w:rFonts w:ascii="Comic Sans MS" w:hAnsi="Comic Sans MS"/>
          <w:sz w:val="24"/>
          <w:szCs w:val="24"/>
          <w:lang w:val="en-GB"/>
        </w:rPr>
        <w:t xml:space="preserve">, Nina </w:t>
      </w:r>
      <w:proofErr w:type="spellStart"/>
      <w:r w:rsidRPr="00C4541A">
        <w:rPr>
          <w:rFonts w:ascii="Comic Sans MS" w:hAnsi="Comic Sans MS"/>
          <w:sz w:val="24"/>
          <w:szCs w:val="24"/>
          <w:lang w:val="en-GB"/>
        </w:rPr>
        <w:t>Spada</w:t>
      </w:r>
      <w:proofErr w:type="spellEnd"/>
      <w:r w:rsidRPr="00C4541A">
        <w:rPr>
          <w:rFonts w:ascii="Comic Sans MS" w:hAnsi="Comic Sans MS"/>
          <w:sz w:val="24"/>
          <w:szCs w:val="24"/>
          <w:lang w:val="en-GB"/>
        </w:rPr>
        <w:t xml:space="preserve">, Diane Larsen-Freeman, </w:t>
      </w:r>
      <w:proofErr w:type="spellStart"/>
      <w:r w:rsidRPr="00C4541A">
        <w:rPr>
          <w:rFonts w:ascii="Comic Sans MS" w:hAnsi="Comic Sans MS"/>
          <w:sz w:val="24"/>
          <w:szCs w:val="24"/>
          <w:lang w:val="en-GB"/>
        </w:rPr>
        <w:t>Russel</w:t>
      </w:r>
      <w:proofErr w:type="spellEnd"/>
      <w:r w:rsidRPr="00C4541A">
        <w:rPr>
          <w:rFonts w:ascii="Comic Sans MS" w:hAnsi="Comic Sans MS"/>
          <w:sz w:val="24"/>
          <w:szCs w:val="24"/>
          <w:lang w:val="en-GB"/>
        </w:rPr>
        <w:t xml:space="preserve"> N. Campbell, William E Rutherford, Leila </w:t>
      </w:r>
      <w:proofErr w:type="spellStart"/>
      <w:r w:rsidRPr="00C4541A">
        <w:rPr>
          <w:rFonts w:ascii="Comic Sans MS" w:hAnsi="Comic Sans MS"/>
          <w:sz w:val="24"/>
          <w:szCs w:val="24"/>
          <w:lang w:val="en-GB"/>
        </w:rPr>
        <w:t>Ranta</w:t>
      </w:r>
      <w:proofErr w:type="spellEnd"/>
      <w:r w:rsidRPr="00C4541A">
        <w:rPr>
          <w:rFonts w:ascii="Comic Sans MS" w:hAnsi="Comic Sans MS"/>
          <w:sz w:val="24"/>
          <w:szCs w:val="24"/>
          <w:lang w:val="en-GB"/>
        </w:rPr>
        <w:t>, and Jude Rand. The work was published in Oxford in 1993.</w:t>
      </w:r>
    </w:p>
    <w:p w:rsidR="00140812" w:rsidRPr="00140812" w:rsidRDefault="00C4541A" w:rsidP="00C4541A">
      <w:pPr>
        <w:rPr>
          <w:rFonts w:ascii="Comic Sans MS" w:hAnsi="Comic Sans MS"/>
          <w:sz w:val="24"/>
          <w:szCs w:val="24"/>
          <w:lang w:val="en-GB"/>
        </w:rPr>
      </w:pPr>
      <w:r w:rsidRPr="00C4541A">
        <w:rPr>
          <w:rFonts w:ascii="Comic Sans MS" w:hAnsi="Comic Sans MS"/>
          <w:sz w:val="24"/>
          <w:szCs w:val="24"/>
          <w:lang w:val="en-GB"/>
        </w:rPr>
        <w:t>3.</w:t>
      </w:r>
      <w:r w:rsidRPr="00C4541A">
        <w:rPr>
          <w:rFonts w:ascii="Comic Sans MS" w:hAnsi="Comic Sans MS"/>
          <w:sz w:val="24"/>
          <w:szCs w:val="24"/>
          <w:lang w:val="en-GB"/>
        </w:rPr>
        <w:tab/>
        <w:t xml:space="preserve">In 2004, the online journal, International Journal of Aging and Human Development (Volume 59, issue3) published an article by D. C. </w:t>
      </w:r>
      <w:proofErr w:type="spellStart"/>
      <w:r w:rsidRPr="00C4541A">
        <w:rPr>
          <w:rFonts w:ascii="Comic Sans MS" w:hAnsi="Comic Sans MS"/>
          <w:sz w:val="24"/>
          <w:szCs w:val="24"/>
          <w:lang w:val="en-GB"/>
        </w:rPr>
        <w:t>Reitzes</w:t>
      </w:r>
      <w:proofErr w:type="spellEnd"/>
      <w:r w:rsidRPr="00C4541A">
        <w:rPr>
          <w:rFonts w:ascii="Comic Sans MS" w:hAnsi="Comic Sans MS"/>
          <w:sz w:val="24"/>
          <w:szCs w:val="24"/>
          <w:lang w:val="en-GB"/>
        </w:rPr>
        <w:t xml:space="preserve"> and E. J. </w:t>
      </w:r>
      <w:proofErr w:type="spellStart"/>
      <w:r w:rsidRPr="00C4541A">
        <w:rPr>
          <w:rFonts w:ascii="Comic Sans MS" w:hAnsi="Comic Sans MS"/>
          <w:sz w:val="24"/>
          <w:szCs w:val="24"/>
          <w:lang w:val="en-GB"/>
        </w:rPr>
        <w:t>Mutran</w:t>
      </w:r>
      <w:proofErr w:type="spellEnd"/>
      <w:r w:rsidRPr="00C4541A">
        <w:rPr>
          <w:rFonts w:ascii="Comic Sans MS" w:hAnsi="Comic Sans MS"/>
          <w:sz w:val="24"/>
          <w:szCs w:val="24"/>
          <w:lang w:val="en-GB"/>
        </w:rPr>
        <w:t xml:space="preserve"> called “The Transition to Retirement: Stages and Factors That Influence Retirement Adjustment.” This article appeared on pages 63 through 84. This journal paginates continuously through each volume. The article was retrieved on the sixth of May, 2012, and it has the following DOI: 10.1207/s15328023top3203_8  </w:t>
      </w:r>
    </w:p>
    <w:p w:rsidR="00140812" w:rsidRPr="00140812" w:rsidRDefault="00140812">
      <w:pPr>
        <w:rPr>
          <w:rFonts w:ascii="Comic Sans MS" w:hAnsi="Comic Sans MS"/>
          <w:sz w:val="24"/>
          <w:szCs w:val="24"/>
          <w:lang w:val="en-GB"/>
        </w:rPr>
      </w:pPr>
    </w:p>
    <w:sectPr w:rsidR="00140812" w:rsidRPr="00140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12"/>
    <w:rsid w:val="00140812"/>
    <w:rsid w:val="00B44D85"/>
    <w:rsid w:val="00C454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229</Words>
  <Characters>1263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2023-12-18T19:10:00Z</dcterms:created>
  <dcterms:modified xsi:type="dcterms:W3CDTF">2023-12-18T19:17:00Z</dcterms:modified>
</cp:coreProperties>
</file>