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18" w:rsidRPr="00F14A18" w:rsidRDefault="00F14A18" w:rsidP="00F14A18">
      <w:pPr>
        <w:jc w:val="right"/>
        <w:rPr>
          <w:rFonts w:asciiTheme="majorBidi" w:hAnsiTheme="majorBidi" w:cstheme="majorBidi"/>
          <w:color w:val="242021"/>
        </w:rPr>
      </w:pPr>
      <w:r w:rsidRPr="00F14A18">
        <w:rPr>
          <w:rStyle w:val="fontstyle01"/>
          <w:rFonts w:asciiTheme="majorBidi" w:hAnsiTheme="majorBidi" w:cstheme="majorBidi"/>
          <w:sz w:val="22"/>
          <w:szCs w:val="22"/>
        </w:rPr>
        <w:t>Kuna gatherings</w:t>
      </w:r>
      <w:r w:rsidRPr="00F14A18">
        <w:rPr>
          <w:rFonts w:asciiTheme="majorBidi" w:hAnsiTheme="majorBidi" w:cstheme="majorBidi"/>
          <w:b/>
          <w:bCs/>
          <w:i/>
          <w:iCs/>
          <w:color w:val="242021"/>
        </w:rPr>
        <w:br/>
      </w:r>
      <w:r>
        <w:rPr>
          <w:rFonts w:asciiTheme="majorBidi" w:hAnsiTheme="majorBidi" w:cstheme="majorBidi"/>
          <w:color w:val="242021"/>
        </w:rPr>
        <w:t xml:space="preserve">  </w:t>
      </w:r>
      <w:r w:rsidR="00E47076">
        <w:rPr>
          <w:rFonts w:asciiTheme="majorBidi" w:hAnsiTheme="majorBidi" w:cstheme="majorBidi"/>
          <w:color w:val="242021"/>
        </w:rPr>
        <w:t xml:space="preserve">  </w:t>
      </w:r>
      <w:r>
        <w:rPr>
          <w:rFonts w:asciiTheme="majorBidi" w:hAnsiTheme="majorBidi" w:cstheme="majorBidi"/>
          <w:color w:val="242021"/>
        </w:rPr>
        <w:t xml:space="preserve">   </w:t>
      </w:r>
      <w:r w:rsidRPr="00F14A18">
        <w:rPr>
          <w:rFonts w:asciiTheme="majorBidi" w:hAnsiTheme="majorBidi" w:cstheme="majorBidi"/>
          <w:color w:val="242021"/>
        </w:rPr>
        <w:t>I’ll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draw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</w:t>
      </w:r>
      <w:r w:rsidRPr="00F14A18">
        <w:rPr>
          <w:rFonts w:asciiTheme="majorBidi" w:hAnsiTheme="majorBidi" w:cstheme="majorBidi"/>
          <w:color w:val="242021"/>
        </w:rPr>
        <w:t> </w:t>
      </w:r>
      <w:proofErr w:type="spellStart"/>
      <w:proofErr w:type="gramStart"/>
      <w:r w:rsidRPr="00F14A18">
        <w:rPr>
          <w:rFonts w:asciiTheme="majorBidi" w:hAnsiTheme="majorBidi" w:cstheme="majorBidi"/>
          <w:color w:val="242021"/>
        </w:rPr>
        <w:t>Sherzer’s</w:t>
      </w:r>
      <w:proofErr w:type="spellEnd"/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(1987)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monograph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Panama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for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first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half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comparison.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live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east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coast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Panama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organized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around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small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dispersed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villages.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center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each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“gathering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house,”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which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different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kinds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gatherings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held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end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each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day.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gatherings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vary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who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participates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their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importance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but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="00C91638">
        <w:rPr>
          <w:rFonts w:asciiTheme="majorBidi" w:hAnsiTheme="majorBidi" w:cstheme="majorBidi"/>
          <w:color w:val="242021"/>
        </w:rPr>
        <w:t xml:space="preserve"> weekend </w:t>
      </w:r>
      <w:r w:rsidRPr="00F14A18">
        <w:rPr>
          <w:rFonts w:asciiTheme="majorBidi" w:hAnsiTheme="majorBidi" w:cstheme="majorBidi"/>
          <w:color w:val="242021"/>
        </w:rPr>
        <w:t>gathering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most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business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(and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people)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done.</w:t>
      </w:r>
      <w:r w:rsidRPr="00F14A18">
        <w:rPr>
          <w:rFonts w:asciiTheme="majorBidi" w:hAnsiTheme="majorBidi" w:cstheme="majorBidi"/>
          <w:color w:val="242021"/>
        </w:rPr>
        <w:t> </w:t>
      </w:r>
      <w:bookmarkStart w:id="0" w:name="_GoBack"/>
      <w:bookmarkEnd w:id="0"/>
      <w:r w:rsidRPr="00F14A18">
        <w:rPr>
          <w:rFonts w:asciiTheme="majorBidi" w:hAnsiTheme="majorBidi" w:cstheme="majorBidi"/>
          <w:color w:val="242021"/>
        </w:rPr>
        <w:br/>
      </w:r>
      <w:r>
        <w:rPr>
          <w:rFonts w:asciiTheme="majorBidi" w:hAnsiTheme="majorBidi" w:cstheme="majorBidi"/>
          <w:color w:val="242021"/>
        </w:rPr>
        <w:t xml:space="preserve">     </w:t>
      </w:r>
      <w:r w:rsidRPr="00F14A18">
        <w:rPr>
          <w:rFonts w:asciiTheme="majorBidi" w:hAnsiTheme="majorBidi" w:cstheme="majorBidi"/>
          <w:color w:val="242021"/>
        </w:rPr>
        <w:t>It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venue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for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judicial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proceedings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entertainment,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="00D260C9">
        <w:rPr>
          <w:rFonts w:asciiTheme="majorBidi" w:hAnsiTheme="majorBidi" w:cstheme="majorBidi"/>
          <w:color w:val="242021"/>
        </w:rPr>
        <w:t xml:space="preserve"> </w:t>
      </w:r>
      <w:r w:rsidRPr="00F14A18">
        <w:rPr>
          <w:rFonts w:asciiTheme="majorBidi" w:hAnsiTheme="majorBidi" w:cstheme="majorBidi"/>
          <w:color w:val="242021"/>
        </w:rPr>
        <w:t>communication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among</w:t>
      </w:r>
      <w:r>
        <w:rPr>
          <w:rFonts w:asciiTheme="majorBidi" w:hAnsiTheme="majorBidi" w:cstheme="majorBidi"/>
          <w:color w:val="242021"/>
        </w:rPr>
        <w:t xml:space="preserve"> </w:t>
      </w:r>
      <w:r w:rsidRPr="00F14A18">
        <w:rPr>
          <w:rFonts w:asciiTheme="majorBidi" w:hAnsiTheme="majorBidi" w:cstheme="majorBidi"/>
          <w:color w:val="242021"/>
        </w:rPr>
        <w:t>villages.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gatherings</w:t>
      </w:r>
      <w:r w:rsidRPr="00F14A18">
        <w:rPr>
          <w:rFonts w:asciiTheme="majorBidi" w:hAnsiTheme="majorBidi" w:cstheme="majorBidi"/>
          <w:color w:val="242021"/>
        </w:rPr>
        <w:t> </w:t>
      </w:r>
      <w:proofErr w:type="gramStart"/>
      <w:r w:rsidRPr="00F14A18">
        <w:rPr>
          <w:rFonts w:asciiTheme="majorBidi" w:hAnsiTheme="majorBidi" w:cstheme="majorBidi"/>
          <w:color w:val="242021"/>
        </w:rPr>
        <w:t>are</w:t>
      </w:r>
      <w:r w:rsidR="00D260C9">
        <w:rPr>
          <w:rFonts w:asciiTheme="majorBidi" w:hAnsiTheme="majorBidi" w:cstheme="majorBidi"/>
          <w:color w:val="242021"/>
        </w:rPr>
        <w:t xml:space="preserve"> </w:t>
      </w:r>
      <w:r w:rsidRPr="00F14A18">
        <w:rPr>
          <w:rFonts w:asciiTheme="majorBidi" w:hAnsiTheme="majorBidi" w:cstheme="majorBidi"/>
          <w:color w:val="242021"/>
        </w:rPr>
        <w:t>held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“gathering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house,”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large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circular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hut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located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center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While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smaller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gatherings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daily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may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include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few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elders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proofErr w:type="spellStart"/>
      <w:r w:rsidRPr="00F14A18">
        <w:rPr>
          <w:rFonts w:asciiTheme="majorBidi" w:hAnsiTheme="majorBidi" w:cstheme="majorBidi"/>
          <w:color w:val="242021"/>
        </w:rPr>
        <w:t>Sherzer</w:t>
      </w:r>
      <w:proofErr w:type="spell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suggests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understood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derivative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more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elaborate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gatherings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held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once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twice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week.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central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activity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such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gatherings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“chanting”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two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“chiefs”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–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two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required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because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“chief”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must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respond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another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for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chanting.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“chiefs”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(or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</w:t>
      </w:r>
      <w:proofErr w:type="spellStart"/>
      <w:r w:rsidRPr="00F14A18">
        <w:rPr>
          <w:rFonts w:asciiTheme="majorBidi" w:hAnsiTheme="majorBidi" w:cstheme="majorBidi"/>
          <w:i/>
          <w:iCs/>
          <w:color w:val="242021"/>
        </w:rPr>
        <w:t>saklakana</w:t>
      </w:r>
      <w:proofErr w:type="spellEnd"/>
      <w:r w:rsidRPr="00F14A18">
        <w:rPr>
          <w:rFonts w:asciiTheme="majorBidi" w:hAnsiTheme="majorBidi" w:cstheme="majorBidi"/>
          <w:color w:val="242021"/>
        </w:rPr>
        <w:t>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which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“chief”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only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rough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gloss)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literally central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because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gathering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house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circular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chiefs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sit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center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two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hammocks,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side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side.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Near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them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“spokesman,”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further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remove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surrounding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chiefs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spokesmen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finally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women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outer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ring.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“policemen”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who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make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sure that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everyone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stays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awake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listens.</w:t>
      </w:r>
    </w:p>
    <w:p w:rsidR="00D260C9" w:rsidRDefault="00F14A18" w:rsidP="00D260C9">
      <w:pPr>
        <w:jc w:val="right"/>
        <w:rPr>
          <w:rFonts w:asciiTheme="majorBidi" w:hAnsiTheme="majorBidi" w:cstheme="majorBidi"/>
          <w:color w:val="242021"/>
        </w:rPr>
      </w:pPr>
      <w:r w:rsidRPr="00F14A18">
        <w:rPr>
          <w:rFonts w:asciiTheme="majorBidi" w:hAnsiTheme="majorBidi" w:cstheme="majorBidi"/>
          <w:color w:val="242021"/>
        </w:rPr>
        <w:t xml:space="preserve">     Before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chanting,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there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may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be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some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other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business,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then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 chiefs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begin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their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chanting.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speak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special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“chief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language”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which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derivative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everyday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language.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general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has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more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elaborate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morphology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some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slightly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different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word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order.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chief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main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chanter,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while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 other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simply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responds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(</w:t>
      </w:r>
      <w:proofErr w:type="spellStart"/>
      <w:r w:rsidRPr="00F14A18">
        <w:rPr>
          <w:rFonts w:asciiTheme="majorBidi" w:hAnsiTheme="majorBidi" w:cstheme="majorBidi"/>
          <w:color w:val="242021"/>
        </w:rPr>
        <w:t>Sherzer</w:t>
      </w:r>
      <w:proofErr w:type="spellEnd"/>
      <w:r w:rsidR="00D260C9">
        <w:rPr>
          <w:rFonts w:asciiTheme="majorBidi" w:hAnsiTheme="majorBidi" w:cstheme="majorBidi"/>
          <w:color w:val="242021"/>
        </w:rPr>
        <w:t xml:space="preserve"> </w:t>
      </w:r>
      <w:r w:rsidRPr="00F14A18">
        <w:rPr>
          <w:rFonts w:asciiTheme="majorBidi" w:hAnsiTheme="majorBidi" w:cstheme="majorBidi"/>
          <w:color w:val="242021"/>
        </w:rPr>
        <w:t>translates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most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responses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“indeed” 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topics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chants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varied,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from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stories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local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people,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myths,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traditional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stories,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histories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people,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stories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from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Christian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Bible. These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stories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meant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to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teach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provide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common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history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set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beliefs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for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community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proofErr w:type="spellStart"/>
      <w:r w:rsidRPr="00F14A18">
        <w:rPr>
          <w:rFonts w:asciiTheme="majorBidi" w:hAnsiTheme="majorBidi" w:cstheme="majorBidi"/>
          <w:color w:val="242021"/>
        </w:rPr>
        <w:t>Sherzer</w:t>
      </w:r>
      <w:proofErr w:type="spell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suggests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important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maintaining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cohesion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each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village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especially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cohesion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of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wider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speech  community.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Once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chiefs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have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finished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chanting</w:t>
      </w:r>
      <w:proofErr w:type="gramStart"/>
      <w:r w:rsidRPr="00F14A18">
        <w:rPr>
          <w:rFonts w:asciiTheme="majorBidi" w:hAnsiTheme="majorBidi" w:cstheme="majorBidi"/>
          <w:color w:val="242021"/>
        </w:rPr>
        <w:t>,</w:t>
      </w:r>
      <w:proofErr w:type="gramEnd"/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spokesmen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reinterpret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 chant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in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everyday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Kuna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language,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may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add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commentary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about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what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lessons should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taken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from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stories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told.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There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may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then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be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another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chant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from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>the second</w:t>
      </w:r>
      <w:r w:rsidRPr="00F14A18">
        <w:rPr>
          <w:rFonts w:asciiTheme="majorBidi" w:hAnsiTheme="majorBidi" w:cstheme="majorBidi"/>
          <w:color w:val="242021"/>
        </w:rPr>
        <w:t> </w:t>
      </w:r>
      <w:r w:rsidRPr="00F14A18">
        <w:rPr>
          <w:rFonts w:asciiTheme="majorBidi" w:hAnsiTheme="majorBidi" w:cstheme="majorBidi"/>
          <w:color w:val="242021"/>
        </w:rPr>
        <w:t xml:space="preserve">chief. </w:t>
      </w:r>
    </w:p>
    <w:p w:rsidR="00D260C9" w:rsidRDefault="00D260C9" w:rsidP="00D260C9">
      <w:pPr>
        <w:jc w:val="right"/>
        <w:rPr>
          <w:rFonts w:asciiTheme="majorBidi" w:hAnsiTheme="majorBidi" w:cstheme="majorBidi"/>
          <w:color w:val="242021"/>
        </w:rPr>
      </w:pPr>
    </w:p>
    <w:p w:rsidR="00F14A18" w:rsidRPr="00F14A18" w:rsidRDefault="00D260C9" w:rsidP="00D260C9">
      <w:pPr>
        <w:jc w:val="right"/>
        <w:rPr>
          <w:rFonts w:ascii="Palatino-Roman" w:hAnsi="Palatino-Roman"/>
          <w:color w:val="242021"/>
          <w:sz w:val="20"/>
          <w:szCs w:val="20"/>
          <w:rtl/>
          <w:lang w:bidi="ar-DZ"/>
        </w:rPr>
      </w:pPr>
      <w:r w:rsidRPr="00D260C9">
        <w:rPr>
          <w:rFonts w:asciiTheme="majorBidi" w:hAnsiTheme="majorBidi" w:cstheme="majorBidi"/>
          <w:noProof/>
          <w:color w:val="242021"/>
          <w:lang w:val="fr-FR" w:eastAsia="fr-FR"/>
        </w:rPr>
        <w:lastRenderedPageBreak/>
        <w:drawing>
          <wp:inline distT="0" distB="0" distL="0" distR="0">
            <wp:extent cx="5657850" cy="2466975"/>
            <wp:effectExtent l="0" t="0" r="0" b="9525"/>
            <wp:docPr id="2" name="Image 2" descr="C:\Users\ACER\Desktop\gettyimages-540218699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gettyimages-540218699-1024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0C9">
        <w:rPr>
          <w:rFonts w:asciiTheme="majorBidi" w:hAnsiTheme="majorBidi" w:cstheme="majorBidi"/>
          <w:noProof/>
          <w:color w:val="242021"/>
          <w:lang w:val="fr-FR" w:eastAsia="fr-FR"/>
        </w:rPr>
        <w:drawing>
          <wp:inline distT="0" distB="0" distL="0" distR="0">
            <wp:extent cx="5685155" cy="3324225"/>
            <wp:effectExtent l="0" t="0" r="0" b="9525"/>
            <wp:docPr id="1" name="Image 1" descr="C:\Users\ACER\Desktop\young-kids-in-front-of-a-traditional-hut-omo-valley-ethiopia-BRBEB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young-kids-in-front-of-a-traditional-hut-omo-valley-ethiopia-BRBEB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72" cy="335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A18" w:rsidRPr="00F14A18">
        <w:rPr>
          <w:rFonts w:asciiTheme="majorBidi" w:hAnsiTheme="majorBidi" w:cstheme="majorBidi"/>
          <w:color w:val="242021"/>
        </w:rPr>
        <w:br/>
      </w:r>
      <w:r w:rsidR="00F14A18" w:rsidRPr="00F14A18">
        <w:rPr>
          <w:rFonts w:ascii="Palatino-Roman" w:hAnsi="Palatino-Roman"/>
          <w:color w:val="242021"/>
          <w:sz w:val="20"/>
          <w:szCs w:val="20"/>
        </w:rPr>
        <w:br/>
      </w:r>
      <w:r w:rsidR="00F14A18" w:rsidRPr="00F14A18">
        <w:rPr>
          <w:rFonts w:ascii="Palatino-Roman" w:hAnsi="Palatino-Roman"/>
          <w:color w:val="242021"/>
          <w:sz w:val="20"/>
          <w:szCs w:val="20"/>
        </w:rPr>
        <w:t> </w:t>
      </w:r>
      <w:r w:rsidR="00F14A18" w:rsidRPr="00F14A18">
        <w:rPr>
          <w:rFonts w:ascii="Palatino-Roman" w:hAnsi="Palatino-Roman"/>
          <w:color w:val="242021"/>
          <w:sz w:val="20"/>
          <w:szCs w:val="20"/>
        </w:rPr>
        <w:br/>
      </w:r>
      <w:r w:rsidR="00F14A18" w:rsidRPr="00F14A18">
        <w:rPr>
          <w:rFonts w:ascii="Palatino-Roman" w:hAnsi="Palatino-Roman"/>
          <w:color w:val="242021"/>
          <w:sz w:val="20"/>
          <w:szCs w:val="20"/>
        </w:rPr>
        <w:br/>
      </w:r>
    </w:p>
    <w:p w:rsidR="00F14A18" w:rsidRPr="00F14A18" w:rsidRDefault="00F14A18" w:rsidP="00F14A18">
      <w:pPr>
        <w:jc w:val="right"/>
        <w:rPr>
          <w:rFonts w:ascii="Palatino-Roman" w:hAnsi="Palatino-Roman"/>
          <w:color w:val="242021"/>
          <w:sz w:val="20"/>
          <w:szCs w:val="20"/>
          <w:rtl/>
          <w:lang w:val="fr-FR" w:bidi="ar-DZ"/>
        </w:rPr>
      </w:pPr>
      <w:r w:rsidRPr="00F14A18">
        <w:rPr>
          <w:rFonts w:ascii="Palatino-Roman" w:hAnsi="Palatino-Roman"/>
          <w:color w:val="242021"/>
          <w:sz w:val="20"/>
          <w:szCs w:val="20"/>
        </w:rPr>
        <w:t> </w:t>
      </w:r>
      <w:r w:rsidRPr="00F14A18">
        <w:rPr>
          <w:rFonts w:ascii="Palatino-Roman" w:hAnsi="Palatino-Roman"/>
          <w:color w:val="242021"/>
          <w:sz w:val="20"/>
          <w:szCs w:val="20"/>
        </w:rPr>
        <w:br/>
      </w:r>
    </w:p>
    <w:p w:rsidR="00F14A18" w:rsidRPr="00F14A18" w:rsidRDefault="00F14A18" w:rsidP="00F14A18">
      <w:pPr>
        <w:jc w:val="right"/>
        <w:rPr>
          <w:rtl/>
          <w:lang w:bidi="ar-DZ"/>
        </w:rPr>
      </w:pPr>
    </w:p>
    <w:p w:rsidR="00C806BA" w:rsidRPr="00F14A18" w:rsidRDefault="00F14A18" w:rsidP="00F14A18">
      <w:pPr>
        <w:jc w:val="right"/>
        <w:rPr>
          <w:rtl/>
          <w:lang w:bidi="ar-DZ"/>
        </w:rPr>
      </w:pPr>
      <w:r>
        <w:rPr>
          <w:rStyle w:val="fontstyle21"/>
        </w:rPr>
        <w:t> </w:t>
      </w:r>
      <w:r>
        <w:rPr>
          <w:rFonts w:ascii="Palatino-Roman" w:hAnsi="Palatino-Roman"/>
          <w:color w:val="242021"/>
          <w:sz w:val="20"/>
          <w:szCs w:val="20"/>
        </w:rPr>
        <w:br/>
      </w:r>
    </w:p>
    <w:sectPr w:rsidR="00C806BA" w:rsidRPr="00F14A18" w:rsidSect="00BF3F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-BoldItalic">
    <w:altName w:val="Times New Roman"/>
    <w:panose1 w:val="00000000000000000000"/>
    <w:charset w:val="00"/>
    <w:family w:val="roman"/>
    <w:notTrueType/>
    <w:pitch w:val="default"/>
  </w:font>
  <w:font w:name="Palatino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2C"/>
    <w:rsid w:val="002C632C"/>
    <w:rsid w:val="00BF3F5C"/>
    <w:rsid w:val="00C806BA"/>
    <w:rsid w:val="00C91638"/>
    <w:rsid w:val="00D260C9"/>
    <w:rsid w:val="00E47076"/>
    <w:rsid w:val="00F1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91E19-6C94-48C9-9CEA-C0604601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14A18"/>
    <w:rPr>
      <w:rFonts w:ascii="Palatino-BoldItalic" w:hAnsi="Palatino-BoldItalic" w:hint="default"/>
      <w:b/>
      <w:bCs/>
      <w:i/>
      <w:iCs/>
      <w:color w:val="242021"/>
      <w:sz w:val="26"/>
      <w:szCs w:val="26"/>
    </w:rPr>
  </w:style>
  <w:style w:type="character" w:customStyle="1" w:styleId="fontstyle21">
    <w:name w:val="fontstyle21"/>
    <w:basedOn w:val="Policepardfaut"/>
    <w:rsid w:val="00F14A18"/>
    <w:rPr>
      <w:rFonts w:ascii="Palatino-Roman" w:hAnsi="Palatino-Roma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haroun melgani</dc:creator>
  <cp:keywords/>
  <dc:description/>
  <cp:lastModifiedBy>pc</cp:lastModifiedBy>
  <cp:revision>4</cp:revision>
  <dcterms:created xsi:type="dcterms:W3CDTF">2019-02-24T10:18:00Z</dcterms:created>
  <dcterms:modified xsi:type="dcterms:W3CDTF">2020-03-09T19:37:00Z</dcterms:modified>
</cp:coreProperties>
</file>