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748D" w14:textId="77777777" w:rsidR="009C4AFC" w:rsidRPr="009C4AFC" w:rsidRDefault="009C4AFC" w:rsidP="009C4AFC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r w:rsidRPr="009C4AFC">
        <w:rPr>
          <w:rFonts w:asciiTheme="majorBidi" w:hAnsiTheme="majorBidi" w:cstheme="majorBidi"/>
          <w:sz w:val="28"/>
          <w:szCs w:val="28"/>
          <w:rtl/>
        </w:rPr>
        <w:t>- مفهوم التوجيه المهني :</w:t>
      </w:r>
    </w:p>
    <w:p w14:paraId="068234F2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يشير مفهوم التكوين المهني إلى العملية التي تهدف إلى تحسين وتطوير المهارات والمعارف والخبرات اللازمة لأداء وظائف محددة في سوق العمل</w:t>
      </w:r>
      <w:r w:rsidRPr="009C4AF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Karmel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 xml:space="preserve"> &amp; 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Mlotkowski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 xml:space="preserve">, 2019). </w:t>
      </w:r>
      <w:r w:rsidRPr="009C4AFC">
        <w:rPr>
          <w:rFonts w:asciiTheme="majorBidi" w:hAnsiTheme="majorBidi" w:cstheme="majorBidi"/>
          <w:sz w:val="28"/>
          <w:szCs w:val="28"/>
          <w:rtl/>
        </w:rPr>
        <w:t>يشمل التكوين المهني العديد من الأنشطة، مثل الدورات التدريبية وورش العمل والتدريب الميداني والتعليم الجامعي والتدريب الفني والتعلم عن بعد (الينتي, 2015</w:t>
      </w:r>
      <w:r w:rsidRPr="009C4AFC">
        <w:rPr>
          <w:rFonts w:asciiTheme="majorBidi" w:hAnsiTheme="majorBidi" w:cstheme="majorBidi"/>
          <w:sz w:val="28"/>
          <w:szCs w:val="28"/>
        </w:rPr>
        <w:t>).</w:t>
      </w:r>
    </w:p>
    <w:p w14:paraId="4C35D4B9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وتُعدّ التكوين المهني جزءًا أساسيًا من الحياة المهنية، حيث يساعد العمال والموظفون في اكتساب المهارات والمعرفة اللازمة لتحسين أدائهم والنجاح في وظائفهم</w:t>
      </w:r>
      <w:r w:rsidRPr="009C4AF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Karmel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 xml:space="preserve"> &amp; 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Mlotkowski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>, 2019).</w:t>
      </w:r>
    </w:p>
    <w:p w14:paraId="482E8883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وتهدف الدورات التدريبية في التكوين المهني إلى تزويد العمال بالمهارات والمعرفة اللازمة للقيام بالمهام المطلوبة في الوظيفة، وتحسين أدائهم وإنتاجيتهم</w:t>
      </w:r>
      <w:r w:rsidRPr="009C4AFC">
        <w:rPr>
          <w:rFonts w:asciiTheme="majorBidi" w:hAnsiTheme="majorBidi" w:cstheme="majorBidi"/>
          <w:sz w:val="28"/>
          <w:szCs w:val="28"/>
        </w:rPr>
        <w:t xml:space="preserve"> (Nassar-McMillan &amp; Borders, 2014).</w:t>
      </w:r>
    </w:p>
    <w:p w14:paraId="3C37D21F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كما تساعد التدريبات الميدانية في تقديم فرصة للعمال لتطبيق المهارات النظرية والعملية التي اكتسبوها في بيئة العمل الحقيقية، وبالتالي تحسين مهاراتهم والاستعداد لمتطلبات الوظيفة</w:t>
      </w:r>
      <w:r w:rsidRPr="009C4AF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Karmel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 xml:space="preserve"> &amp; 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Mlotkowski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>, 2019).</w:t>
      </w:r>
    </w:p>
    <w:p w14:paraId="4484C282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بجانب ذلك، تساعد الدورات الجامعية والتدريب الفني في تزويد الطلاب والمتدربين بالمهارات والمعرفة اللازمة لمهن محددة، والاستعداد للانخراط في سوق العمل</w:t>
      </w:r>
      <w:r w:rsidRPr="009C4AFC">
        <w:rPr>
          <w:rFonts w:asciiTheme="majorBidi" w:hAnsiTheme="majorBidi" w:cstheme="majorBidi"/>
          <w:sz w:val="28"/>
          <w:szCs w:val="28"/>
        </w:rPr>
        <w:t xml:space="preserve"> (Nassar-McMillan &amp; Borders, 2014).</w:t>
      </w:r>
    </w:p>
    <w:p w14:paraId="3426C780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ويشير التعلم عن بعد في التكوين المهني إلى استخدام التكنولوجيا والإنترنت لتوفير التعليم والتدريب للأفراد، ويتميز بالمرونة و</w:t>
      </w:r>
    </w:p>
    <w:p w14:paraId="4EC03DE9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توفير الوقت والتكاليف، والوصول إلى المواد التعليمية والتدريبية في أي وقت ومن أي مكان (الينتي، 2015)</w:t>
      </w:r>
      <w:r w:rsidRPr="009C4AFC">
        <w:rPr>
          <w:rFonts w:asciiTheme="majorBidi" w:hAnsiTheme="majorBidi" w:cstheme="majorBidi"/>
          <w:sz w:val="28"/>
          <w:szCs w:val="28"/>
        </w:rPr>
        <w:t>.</w:t>
      </w:r>
    </w:p>
    <w:p w14:paraId="4013E744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>يمكن أن يساعد التكوين المهني في تعزيز فرص العمال في الحصول على الوظائف التي يرغبون فيها، وزيادة فرصهم للترقي في مساراتهم المهنية</w:t>
      </w:r>
      <w:r w:rsidRPr="009C4AF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Karmel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 xml:space="preserve"> &amp; 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Mlotkowski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>, 2019).</w:t>
      </w:r>
    </w:p>
    <w:p w14:paraId="569BEA74" w14:textId="77777777" w:rsidR="009C4AFC" w:rsidRPr="009C4AFC" w:rsidRDefault="009C4AFC" w:rsidP="009C4AFC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t xml:space="preserve">       وبشكل عام، يعد التكوين المهني عنصرًا أساسيًا في تطوير الموارد البشرية وزيادة الإنتاجية في الشركات والمؤسسات والدول، ويعد الاستثمار في التكوين المهني من الاستثمارات الأكثر ربحية على المدى الطويل</w:t>
      </w:r>
      <w:r w:rsidRPr="009C4AFC">
        <w:rPr>
          <w:rFonts w:asciiTheme="majorBidi" w:hAnsiTheme="majorBidi" w:cstheme="majorBidi"/>
          <w:sz w:val="28"/>
          <w:szCs w:val="28"/>
        </w:rPr>
        <w:t xml:space="preserve"> (Nassar-McMillan &amp; Borders, 2014).</w:t>
      </w:r>
    </w:p>
    <w:p w14:paraId="367E3A4F" w14:textId="77777777" w:rsidR="009C4AFC" w:rsidRPr="009C4AFC" w:rsidRDefault="009C4AFC" w:rsidP="009C4AFC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C4AFC">
        <w:rPr>
          <w:rFonts w:asciiTheme="majorBidi" w:hAnsiTheme="majorBidi" w:cstheme="majorBidi"/>
          <w:b/>
          <w:bCs/>
          <w:sz w:val="28"/>
          <w:szCs w:val="28"/>
          <w:rtl/>
        </w:rPr>
        <w:t>المراجع</w:t>
      </w:r>
      <w:r w:rsidRPr="009C4AFC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38FBE32" w14:textId="77777777" w:rsidR="009C4AFC" w:rsidRPr="009C4AFC" w:rsidRDefault="009C4AFC" w:rsidP="009C4AFC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C4AFC">
        <w:rPr>
          <w:rFonts w:asciiTheme="majorBidi" w:hAnsiTheme="majorBidi" w:cstheme="majorBidi"/>
          <w:sz w:val="28"/>
          <w:szCs w:val="28"/>
        </w:rPr>
        <w:t>Karmel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 xml:space="preserve">, T., &amp; </w:t>
      </w:r>
      <w:proofErr w:type="spellStart"/>
      <w:r w:rsidRPr="009C4AFC">
        <w:rPr>
          <w:rFonts w:asciiTheme="majorBidi" w:hAnsiTheme="majorBidi" w:cstheme="majorBidi"/>
          <w:sz w:val="28"/>
          <w:szCs w:val="28"/>
        </w:rPr>
        <w:t>Mlotkowski</w:t>
      </w:r>
      <w:proofErr w:type="spellEnd"/>
      <w:r w:rsidRPr="009C4AFC">
        <w:rPr>
          <w:rFonts w:asciiTheme="majorBidi" w:hAnsiTheme="majorBidi" w:cstheme="majorBidi"/>
          <w:sz w:val="28"/>
          <w:szCs w:val="28"/>
        </w:rPr>
        <w:t>, P. (2019). Workforce development and training programs: A six-step guide to success. Routledge.</w:t>
      </w:r>
    </w:p>
    <w:p w14:paraId="5C80414E" w14:textId="77777777" w:rsidR="009C4AFC" w:rsidRPr="009C4AFC" w:rsidRDefault="009C4AFC" w:rsidP="009C4AFC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</w:rPr>
        <w:t>Nassar-McMillan, S. C., &amp; Borders, L. D. (2014). The handbook of counseling and counselor education: Career counseling. John Wiley &amp; Sons.</w:t>
      </w:r>
    </w:p>
    <w:p w14:paraId="3F562F91" w14:textId="77777777" w:rsidR="009C4AFC" w:rsidRPr="009C4AFC" w:rsidRDefault="009C4AFC" w:rsidP="009C4AFC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9C4AFC">
        <w:rPr>
          <w:rFonts w:asciiTheme="majorBidi" w:hAnsiTheme="majorBidi" w:cstheme="majorBidi"/>
          <w:sz w:val="28"/>
          <w:szCs w:val="28"/>
          <w:rtl/>
        </w:rPr>
        <w:lastRenderedPageBreak/>
        <w:t>الينتي، ن. (2015). التكوين المهني عن بعد: دراسة ميدانية في ولاية تيبازة. مجلة جامعة عبد الحميد بن باديس, 5</w:t>
      </w:r>
      <w:r w:rsidRPr="009C4AFC">
        <w:rPr>
          <w:rFonts w:asciiTheme="majorBidi" w:hAnsiTheme="majorBidi" w:cstheme="majorBidi"/>
          <w:sz w:val="28"/>
          <w:szCs w:val="28"/>
        </w:rPr>
        <w:t>(2).</w:t>
      </w:r>
    </w:p>
    <w:bookmarkEnd w:id="0"/>
    <w:p w14:paraId="700306A5" w14:textId="77777777" w:rsidR="006477E1" w:rsidRPr="009C4AFC" w:rsidRDefault="006477E1" w:rsidP="009C4AFC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sectPr w:rsidR="006477E1" w:rsidRPr="009C4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63D38"/>
    <w:multiLevelType w:val="hybridMultilevel"/>
    <w:tmpl w:val="BFBE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94C81"/>
    <w:multiLevelType w:val="hybridMultilevel"/>
    <w:tmpl w:val="487C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FC"/>
    <w:rsid w:val="006477E1"/>
    <w:rsid w:val="00953E5E"/>
    <w:rsid w:val="009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4F17"/>
  <w15:chartTrackingRefBased/>
  <w15:docId w15:val="{8E36261A-6EE2-47DD-9A87-5E164FD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3E5E"/>
    <w:pPr>
      <w:keepNext/>
      <w:keepLines/>
      <w:bidi/>
      <w:spacing w:before="40" w:after="0"/>
      <w:outlineLvl w:val="1"/>
    </w:pPr>
    <w:rPr>
      <w:rFonts w:asciiTheme="majorBidi" w:eastAsiaTheme="majorEastAsia" w:hAnsiTheme="majorBidi" w:cstheme="majorBidi"/>
      <w:b/>
      <w:color w:val="2F5496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E5E"/>
    <w:rPr>
      <w:rFonts w:asciiTheme="majorBidi" w:eastAsiaTheme="majorEastAsia" w:hAnsiTheme="majorBidi" w:cstheme="majorBidi"/>
      <w:b/>
      <w:color w:val="2F5496" w:themeColor="accent1" w:themeShade="BF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1</cp:revision>
  <dcterms:created xsi:type="dcterms:W3CDTF">2023-03-21T08:15:00Z</dcterms:created>
  <dcterms:modified xsi:type="dcterms:W3CDTF">2023-03-21T08:16:00Z</dcterms:modified>
</cp:coreProperties>
</file>