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8A" w:rsidRPr="00D44F8A" w:rsidRDefault="00D44F8A" w:rsidP="00D44F8A">
      <w:pPr>
        <w:shd w:val="clear" w:color="auto" w:fill="FFFFFF"/>
        <w:spacing w:after="120" w:line="240" w:lineRule="auto"/>
        <w:outlineLvl w:val="0"/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</w:pPr>
      <w:r w:rsidRPr="00D44F8A"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  <w:t>L'exécution de l'obligation</w:t>
      </w:r>
    </w:p>
    <w:p w:rsidR="00D44F8A" w:rsidRPr="00D44F8A" w:rsidRDefault="00D44F8A" w:rsidP="00D44F8A">
      <w:pPr>
        <w:shd w:val="clear" w:color="auto" w:fill="FFFFFF"/>
        <w:spacing w:after="120" w:line="240" w:lineRule="auto"/>
        <w:outlineLvl w:val="0"/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</w:pPr>
    </w:p>
    <w:p w:rsidR="002124CD" w:rsidRPr="00D44F8A" w:rsidRDefault="00D44F8A" w:rsidP="00D44F8A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Pratiquement, l'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exécution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de l’obligation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peut prendre deux formes : Elle peut avoir lieu en nature: le débiteur 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est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contraint de fournir ce à quoi il s'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est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engagé Elle peut avoir lieu par équivalent: le débiteur verse au créancier une somme d'argent qui correspond à la valeur de la prestation promise initialement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D44F8A" w:rsidRPr="00D44F8A" w:rsidRDefault="00D44F8A" w:rsidP="00D44F8A">
      <w:pPr>
        <w:spacing w:after="225" w:line="240" w:lineRule="auto"/>
        <w:jc w:val="both"/>
        <w:textAlignment w:val="baseline"/>
        <w:rPr>
          <w:rFonts w:ascii="Prompt" w:eastAsia="Times New Roman" w:hAnsi="Prompt" w:cs="Times New Roman"/>
          <w:color w:val="1E1E1E"/>
          <w:sz w:val="21"/>
          <w:szCs w:val="21"/>
          <w:lang w:eastAsia="fr-FR"/>
        </w:rPr>
      </w:pPr>
      <w:r w:rsidRPr="00D44F8A">
        <w:rPr>
          <w:rFonts w:ascii="Prompt" w:eastAsia="Times New Roman" w:hAnsi="Prompt" w:cs="Times New Roman"/>
          <w:color w:val="1E1E1E"/>
          <w:sz w:val="21"/>
          <w:szCs w:val="21"/>
          <w:lang w:eastAsia="fr-FR"/>
        </w:rPr>
        <w:t>.</w:t>
      </w:r>
    </w:p>
    <w:p w:rsidR="00D44F8A" w:rsidRPr="00143C02" w:rsidRDefault="00954210" w:rsidP="00D44F8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  <w:r w:rsidRPr="00143C02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 xml:space="preserve">L’exécution d’une </w:t>
      </w:r>
      <w:r w:rsidR="00D44F8A" w:rsidRPr="00D44F8A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obligation de donner</w:t>
      </w:r>
      <w:r w:rsidRPr="00143C02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 :</w:t>
      </w:r>
    </w:p>
    <w:p w:rsidR="00954210" w:rsidRPr="00D44F8A" w:rsidRDefault="00954210" w:rsidP="0095421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</w:p>
    <w:p w:rsidR="00D44F8A" w:rsidRPr="00D44F8A" w:rsidRDefault="00D44F8A" w:rsidP="00D44F8A">
      <w:pPr>
        <w:numPr>
          <w:ilvl w:val="1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Lorsque l’engagement souscrit consiste en une obligation de donner, il y a lieu de distinguer selon qu’il s’agit de payer une somme d’argent ou selon qu’il s’agit de transférer la propriété d’un bien :</w:t>
      </w:r>
    </w:p>
    <w:p w:rsidR="00D44F8A" w:rsidRPr="00D44F8A" w:rsidRDefault="00D44F8A" w:rsidP="00D44F8A">
      <w:pPr>
        <w:numPr>
          <w:ilvl w:val="2"/>
          <w:numId w:val="1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  <w:r w:rsidRPr="00D44F8A">
        <w:rPr>
          <w:rFonts w:ascii="inherit" w:eastAsia="Times New Roman" w:hAnsi="inherit" w:cs="Times New Roman"/>
          <w:b/>
          <w:bCs/>
          <w:i/>
          <w:i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Lorsqu’il s’agit d’une obligation de payer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Dans cette hypothèse, seule l’exécution forcée en nature est envisageable.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En pareil cas, il ne saurait y avoir d’exécution par équivalent, dans la mesure où, par hypothèse, il n’existe pas d’autre équivalent à l’argent que l’argent.</w:t>
      </w:r>
    </w:p>
    <w:p w:rsidR="00D44F8A" w:rsidRPr="00D44F8A" w:rsidRDefault="00D44F8A" w:rsidP="00D44F8A">
      <w:pPr>
        <w:numPr>
          <w:ilvl w:val="2"/>
          <w:numId w:val="1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  <w:r w:rsidRPr="00D44F8A">
        <w:rPr>
          <w:rFonts w:ascii="inherit" w:eastAsia="Times New Roman" w:hAnsi="inherit" w:cs="Times New Roman"/>
          <w:b/>
          <w:bCs/>
          <w:i/>
          <w:i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Lorsqu’il s’agit de transférer la propriété d’un bien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En cas de défaillance du débiteur, l’exécution forcée n’a pas lieu de jouer dans la mesure où la défaillance du débiteur intéresse l’effet translatif du contrat.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Aussi, est-ce plutôt une action en revendication qui devra être engagée par le créancier aux fins de voir reconnaître son droit de propriété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Quant à l’obligation de délivrance de la chose, elle relève de la catégorie, non pas des obligations de donner, mais de faire.</w:t>
      </w:r>
    </w:p>
    <w:p w:rsidR="00D44F8A" w:rsidRPr="00D44F8A" w:rsidRDefault="00D44F8A" w:rsidP="00D44F8A">
      <w:pPr>
        <w:rPr>
          <w:sz w:val="28"/>
          <w:szCs w:val="28"/>
        </w:rPr>
      </w:pPr>
      <w:bookmarkStart w:id="0" w:name="_GoBack"/>
      <w:bookmarkEnd w:id="0"/>
    </w:p>
    <w:sectPr w:rsidR="00D44F8A" w:rsidRPr="00D4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Promp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E82"/>
    <w:multiLevelType w:val="multilevel"/>
    <w:tmpl w:val="0C3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4044F"/>
    <w:multiLevelType w:val="multilevel"/>
    <w:tmpl w:val="080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8A"/>
    <w:rsid w:val="00143C02"/>
    <w:rsid w:val="00543FED"/>
    <w:rsid w:val="006A6914"/>
    <w:rsid w:val="006D1D71"/>
    <w:rsid w:val="008F158A"/>
    <w:rsid w:val="00954210"/>
    <w:rsid w:val="009D4C18"/>
    <w:rsid w:val="00D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2023-02-25T14:32:00Z</dcterms:created>
  <dcterms:modified xsi:type="dcterms:W3CDTF">2023-02-25T14:32:00Z</dcterms:modified>
</cp:coreProperties>
</file>