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8A" w:rsidRPr="00D44F8A" w:rsidRDefault="00D44F8A" w:rsidP="00D44F8A">
      <w:pPr>
        <w:shd w:val="clear" w:color="auto" w:fill="FFFFFF"/>
        <w:spacing w:after="120" w:line="240" w:lineRule="auto"/>
        <w:outlineLvl w:val="0"/>
        <w:rPr>
          <w:rFonts w:ascii="MontserratLight" w:eastAsia="Times New Roman" w:hAnsi="MontserratLight" w:cs="Times New Roman"/>
          <w:b/>
          <w:bCs/>
          <w:color w:val="262626"/>
          <w:kern w:val="36"/>
          <w:sz w:val="40"/>
          <w:szCs w:val="40"/>
          <w:u w:val="single"/>
          <w:lang w:eastAsia="fr-FR"/>
        </w:rPr>
      </w:pPr>
      <w:r w:rsidRPr="00D44F8A">
        <w:rPr>
          <w:rFonts w:ascii="MontserratLight" w:eastAsia="Times New Roman" w:hAnsi="MontserratLight" w:cs="Times New Roman"/>
          <w:b/>
          <w:bCs/>
          <w:color w:val="262626"/>
          <w:kern w:val="36"/>
          <w:sz w:val="40"/>
          <w:szCs w:val="40"/>
          <w:u w:val="single"/>
          <w:lang w:eastAsia="fr-FR"/>
        </w:rPr>
        <w:t>L'exécution de l'obligation</w:t>
      </w:r>
    </w:p>
    <w:p w:rsidR="00D44F8A" w:rsidRPr="00D44F8A" w:rsidRDefault="00D44F8A" w:rsidP="00D44F8A">
      <w:pPr>
        <w:shd w:val="clear" w:color="auto" w:fill="FFFFFF"/>
        <w:spacing w:after="120" w:line="240" w:lineRule="auto"/>
        <w:outlineLvl w:val="0"/>
        <w:rPr>
          <w:rFonts w:ascii="MontserratLight" w:eastAsia="Times New Roman" w:hAnsi="MontserratLight" w:cs="Times New Roman"/>
          <w:b/>
          <w:bCs/>
          <w:color w:val="262626"/>
          <w:kern w:val="36"/>
          <w:sz w:val="40"/>
          <w:szCs w:val="40"/>
          <w:u w:val="single"/>
          <w:lang w:eastAsia="fr-FR"/>
        </w:rPr>
      </w:pPr>
    </w:p>
    <w:p w:rsidR="002124CD" w:rsidRPr="00D44F8A" w:rsidRDefault="00D44F8A" w:rsidP="00D44F8A">
      <w:pPr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  <w:r w:rsidRPr="00D44F8A">
        <w:rPr>
          <w:rFonts w:ascii="Arial" w:hAnsi="Arial" w:cs="Arial"/>
          <w:color w:val="202124"/>
          <w:sz w:val="28"/>
          <w:szCs w:val="28"/>
          <w:shd w:val="clear" w:color="auto" w:fill="FFFFFF"/>
        </w:rPr>
        <w:t>Pratiquement, l'</w:t>
      </w:r>
      <w:r w:rsidRPr="00D44F8A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exécution</w:t>
      </w:r>
      <w:r w:rsidRPr="00D44F8A">
        <w:rPr>
          <w:rFonts w:ascii="Arial" w:hAnsi="Arial" w:cs="Arial"/>
          <w:color w:val="202124"/>
          <w:sz w:val="28"/>
          <w:szCs w:val="28"/>
          <w:shd w:val="clear" w:color="auto" w:fill="FFFFFF"/>
        </w:rPr>
        <w:t> </w:t>
      </w:r>
      <w:r w:rsidRPr="00D44F8A">
        <w:rPr>
          <w:rFonts w:ascii="Arial" w:hAnsi="Arial" w:cs="Arial"/>
          <w:color w:val="202124"/>
          <w:sz w:val="28"/>
          <w:szCs w:val="28"/>
          <w:shd w:val="clear" w:color="auto" w:fill="FFFFFF"/>
        </w:rPr>
        <w:t>de l’obligation</w:t>
      </w:r>
      <w:r w:rsidRPr="00D44F8A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 peut prendre deux formes : Elle peut avoir lieu en nature: le débiteur </w:t>
      </w:r>
      <w:r w:rsidRPr="00D44F8A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est</w:t>
      </w:r>
      <w:r w:rsidRPr="00D44F8A">
        <w:rPr>
          <w:rFonts w:ascii="Arial" w:hAnsi="Arial" w:cs="Arial"/>
          <w:color w:val="202124"/>
          <w:sz w:val="28"/>
          <w:szCs w:val="28"/>
          <w:shd w:val="clear" w:color="auto" w:fill="FFFFFF"/>
        </w:rPr>
        <w:t> contraint de fournir ce à quoi il s'</w:t>
      </w:r>
      <w:r w:rsidRPr="00D44F8A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est</w:t>
      </w:r>
      <w:r w:rsidRPr="00D44F8A">
        <w:rPr>
          <w:rFonts w:ascii="Arial" w:hAnsi="Arial" w:cs="Arial"/>
          <w:color w:val="202124"/>
          <w:sz w:val="28"/>
          <w:szCs w:val="28"/>
          <w:shd w:val="clear" w:color="auto" w:fill="FFFFFF"/>
        </w:rPr>
        <w:t> engagé Elle peut avoir lieu par équivalent: le débiteur verse au créancier une somme d'argent qui correspond à la valeur de la prestation promise initialement</w:t>
      </w:r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>.</w:t>
      </w:r>
    </w:p>
    <w:p w:rsidR="00D44F8A" w:rsidRPr="00D44F8A" w:rsidRDefault="00D44F8A" w:rsidP="00D44F8A">
      <w:pPr>
        <w:spacing w:after="225" w:line="240" w:lineRule="auto"/>
        <w:jc w:val="both"/>
        <w:textAlignment w:val="baseline"/>
        <w:rPr>
          <w:rFonts w:ascii="Prompt" w:eastAsia="Times New Roman" w:hAnsi="Prompt" w:cs="Times New Roman"/>
          <w:color w:val="1E1E1E"/>
          <w:sz w:val="21"/>
          <w:szCs w:val="21"/>
          <w:lang w:eastAsia="fr-FR"/>
        </w:rPr>
      </w:pPr>
      <w:r w:rsidRPr="00D44F8A">
        <w:rPr>
          <w:rFonts w:ascii="Prompt" w:eastAsia="Times New Roman" w:hAnsi="Prompt" w:cs="Times New Roman"/>
          <w:color w:val="1E1E1E"/>
          <w:sz w:val="21"/>
          <w:szCs w:val="21"/>
          <w:lang w:eastAsia="fr-FR"/>
        </w:rPr>
        <w:t>.</w:t>
      </w:r>
    </w:p>
    <w:p w:rsidR="00D44F8A" w:rsidRPr="00143C02" w:rsidRDefault="00954210" w:rsidP="00D44F8A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1E1E1E"/>
          <w:sz w:val="28"/>
          <w:szCs w:val="28"/>
          <w:u w:val="single"/>
          <w:lang w:eastAsia="fr-FR"/>
        </w:rPr>
      </w:pPr>
      <w:r w:rsidRPr="00143C02">
        <w:rPr>
          <w:rFonts w:ascii="inherit" w:eastAsia="Times New Roman" w:hAnsi="inherit" w:cs="Times New Roman"/>
          <w:b/>
          <w:bCs/>
          <w:color w:val="1E1E1E"/>
          <w:sz w:val="28"/>
          <w:szCs w:val="28"/>
          <w:u w:val="single"/>
          <w:bdr w:val="none" w:sz="0" w:space="0" w:color="auto" w:frame="1"/>
          <w:lang w:eastAsia="fr-FR"/>
        </w:rPr>
        <w:t xml:space="preserve">L’exécution d’une </w:t>
      </w:r>
      <w:r w:rsidR="00D44F8A" w:rsidRPr="00D44F8A">
        <w:rPr>
          <w:rFonts w:ascii="inherit" w:eastAsia="Times New Roman" w:hAnsi="inherit" w:cs="Times New Roman"/>
          <w:b/>
          <w:bCs/>
          <w:color w:val="1E1E1E"/>
          <w:sz w:val="28"/>
          <w:szCs w:val="28"/>
          <w:u w:val="single"/>
          <w:bdr w:val="none" w:sz="0" w:space="0" w:color="auto" w:frame="1"/>
          <w:lang w:eastAsia="fr-FR"/>
        </w:rPr>
        <w:t>obligation de donner</w:t>
      </w:r>
      <w:r w:rsidRPr="00143C02">
        <w:rPr>
          <w:rFonts w:ascii="inherit" w:eastAsia="Times New Roman" w:hAnsi="inherit" w:cs="Times New Roman"/>
          <w:b/>
          <w:bCs/>
          <w:color w:val="1E1E1E"/>
          <w:sz w:val="28"/>
          <w:szCs w:val="28"/>
          <w:u w:val="single"/>
          <w:bdr w:val="none" w:sz="0" w:space="0" w:color="auto" w:frame="1"/>
          <w:lang w:eastAsia="fr-FR"/>
        </w:rPr>
        <w:t> :</w:t>
      </w:r>
    </w:p>
    <w:p w:rsidR="00954210" w:rsidRPr="00D44F8A" w:rsidRDefault="00954210" w:rsidP="00954210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E1E1E"/>
          <w:sz w:val="28"/>
          <w:szCs w:val="28"/>
          <w:u w:val="single"/>
          <w:lang w:eastAsia="fr-FR"/>
        </w:rPr>
      </w:pPr>
    </w:p>
    <w:p w:rsidR="00D44F8A" w:rsidRPr="00D44F8A" w:rsidRDefault="00D44F8A" w:rsidP="00D44F8A">
      <w:pPr>
        <w:numPr>
          <w:ilvl w:val="1"/>
          <w:numId w:val="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Times New Roman"/>
          <w:color w:val="1E1E1E"/>
          <w:sz w:val="28"/>
          <w:szCs w:val="28"/>
          <w:lang w:eastAsia="fr-FR"/>
        </w:rPr>
      </w:pPr>
      <w:r w:rsidRPr="00D44F8A">
        <w:rPr>
          <w:rFonts w:ascii="inherit" w:eastAsia="Times New Roman" w:hAnsi="inherit" w:cs="Times New Roman"/>
          <w:color w:val="1E1E1E"/>
          <w:sz w:val="28"/>
          <w:szCs w:val="28"/>
          <w:lang w:eastAsia="fr-FR"/>
        </w:rPr>
        <w:t>Lorsque l’engagement souscrit consiste en une obligation de donner, il y a lieu de distinguer selon qu’il s’agit de payer une somme d’argent ou selon qu’il s’agit de transférer la propriété d’un bien :</w:t>
      </w:r>
    </w:p>
    <w:p w:rsidR="00D44F8A" w:rsidRPr="00D44F8A" w:rsidRDefault="00D44F8A" w:rsidP="00D44F8A">
      <w:pPr>
        <w:numPr>
          <w:ilvl w:val="2"/>
          <w:numId w:val="1"/>
        </w:numPr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1E1E1E"/>
          <w:sz w:val="28"/>
          <w:szCs w:val="28"/>
          <w:u w:val="single"/>
          <w:lang w:eastAsia="fr-FR"/>
        </w:rPr>
      </w:pPr>
      <w:r w:rsidRPr="00D44F8A">
        <w:rPr>
          <w:rFonts w:ascii="inherit" w:eastAsia="Times New Roman" w:hAnsi="inherit" w:cs="Times New Roman"/>
          <w:b/>
          <w:bCs/>
          <w:i/>
          <w:iCs/>
          <w:color w:val="1E1E1E"/>
          <w:sz w:val="28"/>
          <w:szCs w:val="28"/>
          <w:u w:val="single"/>
          <w:bdr w:val="none" w:sz="0" w:space="0" w:color="auto" w:frame="1"/>
          <w:lang w:eastAsia="fr-FR"/>
        </w:rPr>
        <w:t>Lorsqu’il s’agit d’une obligation de payer</w:t>
      </w:r>
    </w:p>
    <w:p w:rsidR="00D44F8A" w:rsidRPr="00D44F8A" w:rsidRDefault="00D44F8A" w:rsidP="00D44F8A">
      <w:pPr>
        <w:numPr>
          <w:ilvl w:val="3"/>
          <w:numId w:val="1"/>
        </w:numPr>
        <w:spacing w:after="0" w:line="240" w:lineRule="auto"/>
        <w:ind w:left="900"/>
        <w:jc w:val="both"/>
        <w:textAlignment w:val="baseline"/>
        <w:rPr>
          <w:rFonts w:ascii="inherit" w:eastAsia="Times New Roman" w:hAnsi="inherit" w:cs="Times New Roman"/>
          <w:color w:val="1E1E1E"/>
          <w:sz w:val="28"/>
          <w:szCs w:val="28"/>
          <w:lang w:eastAsia="fr-FR"/>
        </w:rPr>
      </w:pPr>
      <w:r w:rsidRPr="00D44F8A">
        <w:rPr>
          <w:rFonts w:ascii="inherit" w:eastAsia="Times New Roman" w:hAnsi="inherit" w:cs="Times New Roman"/>
          <w:color w:val="1E1E1E"/>
          <w:sz w:val="28"/>
          <w:szCs w:val="28"/>
          <w:lang w:eastAsia="fr-FR"/>
        </w:rPr>
        <w:t>Dans cette hypothèse, seule l’exécution forcée en nature est envisageable.</w:t>
      </w:r>
    </w:p>
    <w:p w:rsidR="00D44F8A" w:rsidRPr="00D44F8A" w:rsidRDefault="00D44F8A" w:rsidP="00D44F8A">
      <w:pPr>
        <w:numPr>
          <w:ilvl w:val="3"/>
          <w:numId w:val="1"/>
        </w:numPr>
        <w:spacing w:after="0" w:line="240" w:lineRule="auto"/>
        <w:ind w:left="900"/>
        <w:jc w:val="both"/>
        <w:textAlignment w:val="baseline"/>
        <w:rPr>
          <w:rFonts w:ascii="inherit" w:eastAsia="Times New Roman" w:hAnsi="inherit" w:cs="Times New Roman"/>
          <w:color w:val="1E1E1E"/>
          <w:sz w:val="28"/>
          <w:szCs w:val="28"/>
          <w:lang w:eastAsia="fr-FR"/>
        </w:rPr>
      </w:pPr>
      <w:r w:rsidRPr="00D44F8A">
        <w:rPr>
          <w:rFonts w:ascii="inherit" w:eastAsia="Times New Roman" w:hAnsi="inherit" w:cs="Times New Roman"/>
          <w:color w:val="1E1E1E"/>
          <w:sz w:val="28"/>
          <w:szCs w:val="28"/>
          <w:lang w:eastAsia="fr-FR"/>
        </w:rPr>
        <w:t>En pareil cas, il ne saurait y avoir d’exécution par équivalent, dans la mesure où, par hypothèse, il n’existe pas d’autre équivalent à l’argent que l’argent.</w:t>
      </w:r>
    </w:p>
    <w:p w:rsidR="00D44F8A" w:rsidRPr="00D44F8A" w:rsidRDefault="00D44F8A" w:rsidP="00D44F8A">
      <w:pPr>
        <w:numPr>
          <w:ilvl w:val="2"/>
          <w:numId w:val="1"/>
        </w:numPr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1E1E1E"/>
          <w:sz w:val="28"/>
          <w:szCs w:val="28"/>
          <w:u w:val="single"/>
          <w:lang w:eastAsia="fr-FR"/>
        </w:rPr>
      </w:pPr>
      <w:r w:rsidRPr="00D44F8A">
        <w:rPr>
          <w:rFonts w:ascii="inherit" w:eastAsia="Times New Roman" w:hAnsi="inherit" w:cs="Times New Roman"/>
          <w:b/>
          <w:bCs/>
          <w:i/>
          <w:iCs/>
          <w:color w:val="1E1E1E"/>
          <w:sz w:val="28"/>
          <w:szCs w:val="28"/>
          <w:u w:val="single"/>
          <w:bdr w:val="none" w:sz="0" w:space="0" w:color="auto" w:frame="1"/>
          <w:lang w:eastAsia="fr-FR"/>
        </w:rPr>
        <w:t>Lorsqu’il s’agit de transférer la propriété d’un bien</w:t>
      </w:r>
    </w:p>
    <w:p w:rsidR="00D44F8A" w:rsidRPr="00D44F8A" w:rsidRDefault="00D44F8A" w:rsidP="00D44F8A">
      <w:pPr>
        <w:numPr>
          <w:ilvl w:val="3"/>
          <w:numId w:val="1"/>
        </w:numPr>
        <w:spacing w:after="0" w:line="240" w:lineRule="auto"/>
        <w:ind w:left="900"/>
        <w:jc w:val="both"/>
        <w:textAlignment w:val="baseline"/>
        <w:rPr>
          <w:rFonts w:ascii="inherit" w:eastAsia="Times New Roman" w:hAnsi="inherit" w:cs="Times New Roman"/>
          <w:color w:val="1E1E1E"/>
          <w:sz w:val="28"/>
          <w:szCs w:val="28"/>
          <w:lang w:eastAsia="fr-FR"/>
        </w:rPr>
      </w:pPr>
      <w:r w:rsidRPr="00D44F8A">
        <w:rPr>
          <w:rFonts w:ascii="inherit" w:eastAsia="Times New Roman" w:hAnsi="inherit" w:cs="Times New Roman"/>
          <w:color w:val="1E1E1E"/>
          <w:sz w:val="28"/>
          <w:szCs w:val="28"/>
          <w:lang w:eastAsia="fr-FR"/>
        </w:rPr>
        <w:t>En cas de défaillance du débiteur, l’exécution forcée n’a pas lieu de jouer dans la mesure où la défaillance du débiteur intéresse l’effet translatif du contrat.</w:t>
      </w:r>
    </w:p>
    <w:p w:rsidR="00D44F8A" w:rsidRPr="00D44F8A" w:rsidRDefault="00D44F8A" w:rsidP="00D44F8A">
      <w:pPr>
        <w:numPr>
          <w:ilvl w:val="3"/>
          <w:numId w:val="1"/>
        </w:numPr>
        <w:spacing w:after="0" w:line="240" w:lineRule="auto"/>
        <w:ind w:left="900"/>
        <w:jc w:val="both"/>
        <w:textAlignment w:val="baseline"/>
        <w:rPr>
          <w:rFonts w:ascii="inherit" w:eastAsia="Times New Roman" w:hAnsi="inherit" w:cs="Times New Roman"/>
          <w:color w:val="1E1E1E"/>
          <w:sz w:val="28"/>
          <w:szCs w:val="28"/>
          <w:lang w:eastAsia="fr-FR"/>
        </w:rPr>
      </w:pPr>
      <w:r w:rsidRPr="00D44F8A">
        <w:rPr>
          <w:rFonts w:ascii="inherit" w:eastAsia="Times New Roman" w:hAnsi="inherit" w:cs="Times New Roman"/>
          <w:color w:val="1E1E1E"/>
          <w:sz w:val="28"/>
          <w:szCs w:val="28"/>
          <w:lang w:eastAsia="fr-FR"/>
        </w:rPr>
        <w:t>Aussi, est-ce plutôt une action en revendication qui devra être engagée par le créancier aux fins de voir reconnaître son droit de propriété</w:t>
      </w:r>
    </w:p>
    <w:p w:rsidR="00D44F8A" w:rsidRPr="00D44F8A" w:rsidRDefault="00D44F8A" w:rsidP="00D44F8A">
      <w:pPr>
        <w:numPr>
          <w:ilvl w:val="3"/>
          <w:numId w:val="1"/>
        </w:numPr>
        <w:spacing w:after="0" w:line="240" w:lineRule="auto"/>
        <w:ind w:left="900"/>
        <w:jc w:val="both"/>
        <w:textAlignment w:val="baseline"/>
        <w:rPr>
          <w:rFonts w:ascii="inherit" w:eastAsia="Times New Roman" w:hAnsi="inherit" w:cs="Times New Roman"/>
          <w:color w:val="1E1E1E"/>
          <w:sz w:val="28"/>
          <w:szCs w:val="28"/>
          <w:lang w:eastAsia="fr-FR"/>
        </w:rPr>
      </w:pPr>
      <w:r w:rsidRPr="00D44F8A">
        <w:rPr>
          <w:rFonts w:ascii="inherit" w:eastAsia="Times New Roman" w:hAnsi="inherit" w:cs="Times New Roman"/>
          <w:color w:val="1E1E1E"/>
          <w:sz w:val="28"/>
          <w:szCs w:val="28"/>
          <w:lang w:eastAsia="fr-FR"/>
        </w:rPr>
        <w:t>Quant à l’obligation de délivrance de la chose, elle relève de la catégorie, non pas des obligations de donner, mais de faire.</w:t>
      </w:r>
    </w:p>
    <w:p w:rsidR="00D44F8A" w:rsidRPr="00D44F8A" w:rsidRDefault="00D44F8A" w:rsidP="00D44F8A">
      <w:pPr>
        <w:rPr>
          <w:sz w:val="28"/>
          <w:szCs w:val="28"/>
        </w:rPr>
      </w:pPr>
      <w:bookmarkStart w:id="0" w:name="_GoBack"/>
      <w:bookmarkEnd w:id="0"/>
    </w:p>
    <w:sectPr w:rsidR="00D44F8A" w:rsidRPr="00D44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Light">
    <w:altName w:val="Times New Roman"/>
    <w:panose1 w:val="00000000000000000000"/>
    <w:charset w:val="00"/>
    <w:family w:val="roman"/>
    <w:notTrueType/>
    <w:pitch w:val="default"/>
  </w:font>
  <w:font w:name="Promp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51E82"/>
    <w:multiLevelType w:val="multilevel"/>
    <w:tmpl w:val="0C3C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74044F"/>
    <w:multiLevelType w:val="multilevel"/>
    <w:tmpl w:val="080A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8A"/>
    <w:rsid w:val="00143C02"/>
    <w:rsid w:val="00543FED"/>
    <w:rsid w:val="006A6914"/>
    <w:rsid w:val="006D1D71"/>
    <w:rsid w:val="008F158A"/>
    <w:rsid w:val="00954210"/>
    <w:rsid w:val="009D4C18"/>
    <w:rsid w:val="00D4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2023-02-25T14:32:00Z</dcterms:created>
  <dcterms:modified xsi:type="dcterms:W3CDTF">2023-02-25T14:32:00Z</dcterms:modified>
</cp:coreProperties>
</file>