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0C9" w:rsidRPr="006E0335" w:rsidRDefault="00C870C9" w:rsidP="00183752">
      <w:pPr>
        <w:shd w:val="clear" w:color="auto" w:fill="E5B8B7" w:themeFill="accent2" w:themeFillTint="66"/>
        <w:bidi/>
        <w:spacing w:after="0" w:line="240" w:lineRule="auto"/>
        <w:ind w:firstLine="720"/>
        <w:jc w:val="both"/>
        <w:rPr>
          <w:rFonts w:cs="Traditional Arabic"/>
          <w:b/>
          <w:bCs/>
          <w:sz w:val="36"/>
          <w:szCs w:val="36"/>
          <w:u w:val="single"/>
          <w:rtl/>
        </w:rPr>
      </w:pPr>
      <w:r w:rsidRPr="006E0335">
        <w:rPr>
          <w:rFonts w:cs="Traditional Arabic" w:hint="cs"/>
          <w:b/>
          <w:bCs/>
          <w:sz w:val="36"/>
          <w:szCs w:val="36"/>
          <w:u w:val="single"/>
          <w:rtl/>
        </w:rPr>
        <w:t>" القصة القصيرة الرمزية "</w:t>
      </w:r>
      <w:r>
        <w:rPr>
          <w:rFonts w:cs="Traditional Arabic" w:hint="cs"/>
          <w:b/>
          <w:bCs/>
          <w:sz w:val="36"/>
          <w:szCs w:val="36"/>
          <w:u w:val="single"/>
          <w:rtl/>
        </w:rPr>
        <w:t>/ المحاضرة 10</w:t>
      </w:r>
    </w:p>
    <w:p w:rsidR="00C870C9" w:rsidRPr="00FC5978" w:rsidRDefault="00C870C9" w:rsidP="00183752">
      <w:pPr>
        <w:bidi/>
        <w:spacing w:after="0" w:line="240" w:lineRule="auto"/>
        <w:jc w:val="both"/>
        <w:rPr>
          <w:rFonts w:cs="Traditional Arabic"/>
          <w:sz w:val="36"/>
          <w:szCs w:val="36"/>
          <w:rtl/>
        </w:rPr>
      </w:pPr>
      <w:r w:rsidRPr="00FC5978">
        <w:rPr>
          <w:rFonts w:cs="Traditional Arabic" w:hint="cs"/>
          <w:sz w:val="36"/>
          <w:szCs w:val="36"/>
          <w:rtl/>
        </w:rPr>
        <w:t>مقدمة:</w:t>
      </w:r>
    </w:p>
    <w:p w:rsidR="00C870C9" w:rsidRPr="00FC5978" w:rsidRDefault="00C870C9" w:rsidP="00183752">
      <w:pPr>
        <w:bidi/>
        <w:spacing w:after="0" w:line="240" w:lineRule="auto"/>
        <w:ind w:firstLine="720"/>
        <w:jc w:val="both"/>
        <w:rPr>
          <w:rFonts w:cs="Traditional Arabic"/>
          <w:sz w:val="36"/>
          <w:szCs w:val="36"/>
          <w:rtl/>
        </w:rPr>
      </w:pPr>
      <w:r w:rsidRPr="00FC5978">
        <w:rPr>
          <w:rFonts w:cs="Traditional Arabic" w:hint="cs"/>
          <w:sz w:val="36"/>
          <w:szCs w:val="36"/>
          <w:rtl/>
        </w:rPr>
        <w:t xml:space="preserve">منذ أواخر الستينيات بدأت القصة القصيرة تتمرد على الشكل الواقعي في مصر وبلاد الشام ويرجع هذا إلى النكسة سنة 1967، التي أصابت الشباب العربي ولا سيما الأدباء وكتاب القصة القصيرة، لأنها </w:t>
      </w:r>
      <w:r w:rsidRPr="00FC5978">
        <w:rPr>
          <w:rFonts w:cs="Traditional Arabic"/>
          <w:sz w:val="36"/>
          <w:szCs w:val="36"/>
        </w:rPr>
        <w:t>–</w:t>
      </w:r>
      <w:r w:rsidRPr="00FC5978">
        <w:rPr>
          <w:rFonts w:cs="Traditional Arabic" w:hint="cs"/>
          <w:sz w:val="36"/>
          <w:szCs w:val="36"/>
          <w:rtl/>
        </w:rPr>
        <w:t>كما ذكرنا- أكثر الأجناس الأدبية تعبيرا عن الواقع الإجتماعي، وعن الطبقة المتوسطة التي أخذت على عاتقها هموم الوطن ومآسيه.</w:t>
      </w:r>
    </w:p>
    <w:p w:rsidR="00C870C9" w:rsidRPr="00FC5978" w:rsidRDefault="00C870C9" w:rsidP="00183752">
      <w:pPr>
        <w:bidi/>
        <w:spacing w:after="0" w:line="240" w:lineRule="auto"/>
        <w:ind w:firstLine="720"/>
        <w:jc w:val="both"/>
        <w:rPr>
          <w:rFonts w:cs="Traditional Arabic"/>
          <w:sz w:val="36"/>
          <w:szCs w:val="36"/>
          <w:rtl/>
        </w:rPr>
      </w:pPr>
      <w:r w:rsidRPr="00FC5978">
        <w:rPr>
          <w:rFonts w:cs="Traditional Arabic" w:hint="cs"/>
          <w:sz w:val="36"/>
          <w:szCs w:val="36"/>
          <w:rtl/>
        </w:rPr>
        <w:t>ولذلك ما إن وقعت النكسة وضاعت الأرض العربية، حتى هب معظم الأدباء الشباب في كثير من البلاد العربية يعبرون عن هذا الانكسار، ويتمردون على كل المعايير التقليدية، بما فيها القصة القصيرة الواقعية، لأنها كانت قد قطعت مدة زمنية كبيرة في الأدب العربي الحديث، منذ الثلاثينيات من القرن العشرين وحتى نكسة سنة 1967. كما أنها لم تخرج عن كونها تنقد الواقع الاجتماعي، أو تحلله وضعفه أو تكشف عن مساوئه في إطار الشكل التقليدي لها المألوف منذ الربع الثاني من القرن العشرين.</w:t>
      </w:r>
    </w:p>
    <w:p w:rsidR="00C870C9" w:rsidRPr="00FC5978" w:rsidRDefault="00C870C9" w:rsidP="00183752">
      <w:pPr>
        <w:bidi/>
        <w:spacing w:after="0" w:line="240" w:lineRule="auto"/>
        <w:ind w:firstLine="720"/>
        <w:jc w:val="both"/>
        <w:rPr>
          <w:rFonts w:cs="Traditional Arabic"/>
          <w:sz w:val="36"/>
          <w:szCs w:val="36"/>
          <w:rtl/>
        </w:rPr>
      </w:pPr>
      <w:r w:rsidRPr="00FC5978">
        <w:rPr>
          <w:rFonts w:cs="Traditional Arabic" w:hint="cs"/>
          <w:sz w:val="36"/>
          <w:szCs w:val="36"/>
          <w:rtl/>
        </w:rPr>
        <w:t xml:space="preserve">ولذلك تمرد الكتاب ولاسيما الشباب منهم على الواقع الاجتماعي والسياسي والثقافي والأدبي، إذ لم تعد المحافظة على صرامة الشكل الفني مجدية. ومن ثم تمرد الكتاب على الشكل الواقعي للقصة القصيرة، ومنهم محمد حافظ رجب الذي استشرف انقلاب معايير الواقع من قبل وقوع النكبة، وأخذ يتمرد على كتاب الواقعية ويطلق على نفسه وعلى مجموعة من أصدقائه بأنهم جيل بلا أساتذة يقول : " نحن جيل بلا أساتذة، صاح الصعلوك يا أهل المدينة معي مجموعة قصص صالحة للطبع وأنا أبحث عن مظلة وتذكرة ترام وأخرى للسينما ولكنني لم أعثر على المظلة بعد، بالأمس صحت يا كبار يا أساتذة إننا كبار وأساتذة أيضا، أفسحوا الطريق، ولكنهم سدوا الطريق في وجهي وأنا لم أقل كلماتي بالعبث، قالوا إنها فقط حبر فوق نشافة، والحقيقة أننا نكتب ما لم يكتبه أحد قبلنا، لم يكتشف أحد الكنز الذي اكتشفناه، ولم يروا بريق الماس الذي رأيناه ". </w:t>
      </w:r>
      <w:r w:rsidRPr="00FC5978">
        <w:rPr>
          <w:rStyle w:val="Appelnotedebasdep"/>
          <w:rFonts w:cs="Traditional Arabic"/>
          <w:sz w:val="36"/>
          <w:szCs w:val="36"/>
          <w:rtl/>
        </w:rPr>
        <w:footnoteReference w:id="2"/>
      </w:r>
    </w:p>
    <w:p w:rsidR="00C870C9" w:rsidRPr="00FC5978" w:rsidRDefault="00C870C9" w:rsidP="00183752">
      <w:pPr>
        <w:bidi/>
        <w:spacing w:after="0" w:line="240" w:lineRule="auto"/>
        <w:ind w:firstLine="720"/>
        <w:jc w:val="both"/>
        <w:rPr>
          <w:rFonts w:cs="Traditional Arabic"/>
          <w:sz w:val="36"/>
          <w:szCs w:val="36"/>
          <w:rtl/>
        </w:rPr>
      </w:pPr>
      <w:r w:rsidRPr="00FC5978">
        <w:rPr>
          <w:rFonts w:cs="Traditional Arabic" w:hint="cs"/>
          <w:sz w:val="36"/>
          <w:szCs w:val="36"/>
          <w:rtl/>
        </w:rPr>
        <w:t xml:space="preserve">ولسنا بصدد مناقشة مقولة محمد حافظ رجب، لكننا يمكن القول، لا يقل نصيبها من الصدق عن نصيبها من المبالغة، فهي تصدق في القول بأن الاتجاهات الجديدة ليست مجرد استمرار لما سبقها، ولكنها تغفل أنها تعلمت واستفادت قليلا أو كثيرا من التجارب القديمة، فمعظم هذا الجيل، قرأ لكتاب الواقعية مثل محمود البدوي ونجيب </w:t>
      </w:r>
      <w:r w:rsidRPr="00FC5978">
        <w:rPr>
          <w:rFonts w:cs="Traditional Arabic" w:hint="cs"/>
          <w:sz w:val="36"/>
          <w:szCs w:val="36"/>
          <w:rtl/>
        </w:rPr>
        <w:lastRenderedPageBreak/>
        <w:t xml:space="preserve">محفوظ ويوسف إدريس، ويوسف جوهر، وسعد مكاوي، وعبد الرحمن الخميسي، ويحي حقي، ومحمود تيمور وغيرهم. </w:t>
      </w:r>
      <w:r w:rsidRPr="00FC5978">
        <w:rPr>
          <w:rStyle w:val="Appelnotedebasdep"/>
          <w:rFonts w:cs="Traditional Arabic"/>
          <w:sz w:val="36"/>
          <w:szCs w:val="36"/>
          <w:rtl/>
        </w:rPr>
        <w:footnoteReference w:id="3"/>
      </w:r>
    </w:p>
    <w:p w:rsidR="00C870C9" w:rsidRPr="00FC5978" w:rsidRDefault="00C870C9" w:rsidP="00183752">
      <w:pPr>
        <w:bidi/>
        <w:spacing w:after="0" w:line="240" w:lineRule="auto"/>
        <w:ind w:firstLine="720"/>
        <w:jc w:val="both"/>
        <w:rPr>
          <w:rFonts w:cs="Traditional Arabic"/>
          <w:sz w:val="36"/>
          <w:szCs w:val="36"/>
          <w:rtl/>
        </w:rPr>
      </w:pPr>
      <w:r w:rsidRPr="00FC5978">
        <w:rPr>
          <w:rFonts w:cs="Traditional Arabic" w:hint="cs"/>
          <w:sz w:val="36"/>
          <w:szCs w:val="36"/>
          <w:rtl/>
        </w:rPr>
        <w:t xml:space="preserve">لذلك فإن معظم كتاب القصة القصيرة قد قرأوا وتأثروا برودا القصة القصيرة، لأن قصصهم في البداية كانت تقليدية، وتطورت مع تطور الشكل لفني ولاسيما بعد نكسة حزيران سنة 1967. لأنهم تمردوا على البداية التقليدية في أواخر الستينيات، وأخذوا يتطلعون إلى أشكال تجديدية، بل إن بعض كتاب لواقعية أنفسهم قد ضاقوا ذرعا بالشكل الواقعي، وأخذوا يتطلعون إلى شكل جديد، وملامح مستحدثة تعبر عن مقتضيات واقعهم الجديد. وهو واقع الهزيمة والإنكسار بعد السابق والستين ومن هؤلاء الكتاب؛ يوسف الشاروني، وادوار الخراط، ويحي حقي. فقد كان حتما أن يستنفذ هذا الشكل الكثير من إمكانياته الفنية، وقد ظهر الضيق به عند يحي حقي الذي رأى أن القصة الواقعية لم تعد كافية للتعبير عن أشياء يحس بها. </w:t>
      </w:r>
      <w:r w:rsidRPr="00FC5978">
        <w:rPr>
          <w:rStyle w:val="Appelnotedebasdep"/>
          <w:rFonts w:cs="Traditional Arabic"/>
          <w:sz w:val="36"/>
          <w:szCs w:val="36"/>
          <w:rtl/>
        </w:rPr>
        <w:footnoteReference w:id="4"/>
      </w:r>
    </w:p>
    <w:p w:rsidR="00C870C9" w:rsidRPr="00FC5978" w:rsidRDefault="00C870C9" w:rsidP="00183752">
      <w:pPr>
        <w:bidi/>
        <w:spacing w:after="0" w:line="240" w:lineRule="auto"/>
        <w:ind w:firstLine="720"/>
        <w:jc w:val="both"/>
        <w:rPr>
          <w:rFonts w:cs="Traditional Arabic"/>
          <w:sz w:val="36"/>
          <w:szCs w:val="36"/>
          <w:rtl/>
        </w:rPr>
      </w:pPr>
      <w:r w:rsidRPr="00FC5978">
        <w:rPr>
          <w:rFonts w:cs="Traditional Arabic" w:hint="cs"/>
          <w:sz w:val="36"/>
          <w:szCs w:val="36"/>
          <w:rtl/>
        </w:rPr>
        <w:t xml:space="preserve">ومن ثم نجد بعض القصص عند يحي حقي والشاروني والخراط ولاسيما التي كتبت في منتصف الستينيات تعبر عن جدلية الصراع بين الشكل التقليدي والملامح المستحدثة. </w:t>
      </w:r>
      <w:r w:rsidRPr="00FC5978">
        <w:rPr>
          <w:rStyle w:val="Appelnotedebasdep"/>
          <w:rFonts w:cs="Traditional Arabic"/>
          <w:sz w:val="36"/>
          <w:szCs w:val="36"/>
          <w:rtl/>
        </w:rPr>
        <w:footnoteReference w:id="5"/>
      </w:r>
    </w:p>
    <w:p w:rsidR="00C870C9" w:rsidRPr="00FC5978" w:rsidRDefault="00C870C9" w:rsidP="00183752">
      <w:pPr>
        <w:bidi/>
        <w:spacing w:after="0" w:line="240" w:lineRule="auto"/>
        <w:ind w:firstLine="720"/>
        <w:jc w:val="both"/>
        <w:rPr>
          <w:rFonts w:cs="Traditional Arabic"/>
          <w:sz w:val="36"/>
          <w:szCs w:val="36"/>
          <w:rtl/>
        </w:rPr>
      </w:pPr>
      <w:r w:rsidRPr="00FC5978">
        <w:rPr>
          <w:rFonts w:cs="Traditional Arabic" w:hint="cs"/>
          <w:sz w:val="36"/>
          <w:szCs w:val="36"/>
          <w:rtl/>
        </w:rPr>
        <w:t>وهناك عوامل عديدة أخرى أدت إلى ظهور ملامح التجديد في القصة القصيرة العربية فيما بعد سنة 1967، منها عوامل سياسية واجتماعية وثقافية وفنية. وإذا كانت هذه الملامح الفنية المستحدثة قد ظهرت في أواخر الستينيات في مصر وسوريا فإنها قد تأخرت في بعض بلدان المغرب العربي والخليج العربي إلى أوائل الثمانينيات لعوامل تتعلق بتأخر نشأة القصة القصيرة في هذه البلاد. ولكن برغم التباين الزمني في البلاد العربية في ظهور هذه الإرهاصات التجديدية إلا أننا نجد أن الملامح المستحدثة التي طرأت على القصة القصيرة بعد الواقعية تكاد تكون مشتركة. وربما يرجع ذلك إلى طبيعة الهم العربي المشترك في هذه البلاد. والذي عايشه المثقفون والكتاب العرب في كل الأقطار العربية، وربما كان اختيارنا لمحور الملامح أو الظواهر المستحدثة بدلا من التيارات أو الاتجاهات يرجع لطبيعة اشتراك القصة القصيرة العربية في هذه الملامح أو السمات. كما أنها تشكل ملمحا بارزا في كل اتجاهات القصة وتياراتها سواء كان تيار الوعي، أو التعبيري أو التجريدي.</w:t>
      </w:r>
    </w:p>
    <w:p w:rsidR="00C870C9" w:rsidRPr="006E0335" w:rsidRDefault="00C870C9" w:rsidP="00183752">
      <w:pPr>
        <w:bidi/>
        <w:spacing w:after="0" w:line="240" w:lineRule="auto"/>
        <w:ind w:firstLine="720"/>
        <w:jc w:val="both"/>
        <w:rPr>
          <w:rFonts w:cs="Traditional Arabic"/>
          <w:b/>
          <w:bCs/>
          <w:sz w:val="36"/>
          <w:szCs w:val="36"/>
          <w:rtl/>
        </w:rPr>
      </w:pPr>
      <w:r w:rsidRPr="006E0335">
        <w:rPr>
          <w:rFonts w:cs="Traditional Arabic" w:hint="cs"/>
          <w:b/>
          <w:bCs/>
          <w:sz w:val="36"/>
          <w:szCs w:val="36"/>
          <w:rtl/>
        </w:rPr>
        <w:t>وأهم الظواهر التي طرأت على القصة القصيرة العربية منذ الستينيات وحتى منتصف التسعينيات هي ظاهرة التفتيت، الصورة التجسدية، التتابع الزماني والمكاني " الزمكاني "، الرمز التراثي، الرؤية الحلمية.</w:t>
      </w:r>
    </w:p>
    <w:p w:rsidR="00C870C9" w:rsidRPr="00FC5978" w:rsidRDefault="00C870C9" w:rsidP="008237BF">
      <w:pPr>
        <w:bidi/>
        <w:spacing w:after="0" w:line="240" w:lineRule="auto"/>
        <w:ind w:firstLine="720"/>
        <w:jc w:val="both"/>
        <w:rPr>
          <w:rFonts w:cs="Traditional Arabic"/>
          <w:sz w:val="36"/>
          <w:szCs w:val="36"/>
          <w:rtl/>
        </w:rPr>
      </w:pPr>
      <w:r w:rsidRPr="00FC5978">
        <w:rPr>
          <w:rFonts w:cs="Traditional Arabic" w:hint="cs"/>
          <w:sz w:val="36"/>
          <w:szCs w:val="36"/>
          <w:rtl/>
        </w:rPr>
        <w:lastRenderedPageBreak/>
        <w:t xml:space="preserve">وهذه الظواهر نجدها عند معظم </w:t>
      </w:r>
      <w:r w:rsidR="008237BF">
        <w:rPr>
          <w:rFonts w:cs="Traditional Arabic" w:hint="cs"/>
          <w:sz w:val="36"/>
          <w:szCs w:val="36"/>
          <w:rtl/>
        </w:rPr>
        <w:t>في</w:t>
      </w:r>
      <w:r w:rsidRPr="00FC5978">
        <w:rPr>
          <w:rFonts w:cs="Traditional Arabic" w:hint="cs"/>
          <w:sz w:val="36"/>
          <w:szCs w:val="36"/>
          <w:rtl/>
        </w:rPr>
        <w:t xml:space="preserve">، وبخاصة الجيل المعاصر الذي يمارس الكتابة القصصية منذ الستينيات وحتى (منتصف التسعينيات) </w:t>
      </w:r>
      <w:r w:rsidRPr="006E0335">
        <w:rPr>
          <w:rFonts w:cs="Traditional Arabic" w:hint="cs"/>
          <w:b/>
          <w:bCs/>
          <w:sz w:val="36"/>
          <w:szCs w:val="36"/>
          <w:rtl/>
        </w:rPr>
        <w:t>ففي مصر</w:t>
      </w:r>
      <w:r w:rsidRPr="00FC5978">
        <w:rPr>
          <w:rFonts w:cs="Traditional Arabic" w:hint="cs"/>
          <w:sz w:val="36"/>
          <w:szCs w:val="36"/>
          <w:rtl/>
        </w:rPr>
        <w:t xml:space="preserve"> نجد أعمال ادوار الخراط، والشاروني، وجميل عطية إبراهيم وأحمد الشيخ، وإبراهيم عبد المجيد، ومجيد طوبيا، وأحمد هاشم الشريف، ومحمد عوض عبد العال، ومحمد حافظ رجب، وعبد الحكيم قاسم، وإبراهيم أصلان، ومحمد إبراهيم مبروك، ويحي الطاهر عبد الله، ومحمد المخزنجي، ومحمد مستجاب ويوسف أبو رية، وبهاء طاهر ومحمود الوزداني، ومحمد المنسي قنديل، وجمال الغيطاني، وعز الدين نجيب، وفاروق خورشيد، وعلي عيد، ورفقي بدوي، ورفيق الفرماوي، ومحمد جبريل، وصلاح هاشم، وجار النبي الحلو، وقاسم مسعد عليوة وعلاء الديب وغيرهم.</w:t>
      </w:r>
    </w:p>
    <w:p w:rsidR="00C870C9" w:rsidRPr="00FC5978" w:rsidRDefault="00C870C9" w:rsidP="00183752">
      <w:pPr>
        <w:bidi/>
        <w:spacing w:after="0" w:line="240" w:lineRule="auto"/>
        <w:ind w:firstLine="720"/>
        <w:jc w:val="both"/>
        <w:rPr>
          <w:rFonts w:cs="Traditional Arabic"/>
          <w:sz w:val="36"/>
          <w:szCs w:val="36"/>
          <w:rtl/>
        </w:rPr>
      </w:pPr>
      <w:r w:rsidRPr="006E0335">
        <w:rPr>
          <w:rFonts w:cs="Traditional Arabic" w:hint="cs"/>
          <w:b/>
          <w:bCs/>
          <w:sz w:val="36"/>
          <w:szCs w:val="36"/>
          <w:rtl/>
        </w:rPr>
        <w:t>وفي بلاد الشام</w:t>
      </w:r>
      <w:r w:rsidRPr="00FC5978">
        <w:rPr>
          <w:rFonts w:cs="Traditional Arabic" w:hint="cs"/>
          <w:sz w:val="36"/>
          <w:szCs w:val="36"/>
          <w:rtl/>
        </w:rPr>
        <w:t xml:space="preserve"> نجد أعمال غسان كنفاني، وهاني الراهب، ووليد إخلاصي، وجورج سالم، ومحسن يوسف، وجبران إبراهيم جبران، ومحمد كامل الخطيب، وغادة السمان، وخليل الجاسم الحميدي، وعبد الله أبو هيف، وزكريا شريقي، وإبراهيم خليل، وأميل حبيبي، وحنا مينا وزكريا تامر وغيرهم.</w:t>
      </w:r>
    </w:p>
    <w:p w:rsidR="00C870C9" w:rsidRPr="00FC5978" w:rsidRDefault="00C870C9" w:rsidP="00183752">
      <w:pPr>
        <w:bidi/>
        <w:spacing w:after="0" w:line="240" w:lineRule="auto"/>
        <w:ind w:firstLine="720"/>
        <w:jc w:val="both"/>
        <w:rPr>
          <w:rFonts w:cs="Traditional Arabic"/>
          <w:sz w:val="36"/>
          <w:szCs w:val="36"/>
          <w:rtl/>
        </w:rPr>
      </w:pPr>
      <w:r w:rsidRPr="006E0335">
        <w:rPr>
          <w:rFonts w:cs="Traditional Arabic" w:hint="cs"/>
          <w:b/>
          <w:bCs/>
          <w:sz w:val="36"/>
          <w:szCs w:val="36"/>
          <w:rtl/>
        </w:rPr>
        <w:t xml:space="preserve">وفي العراق </w:t>
      </w:r>
      <w:r w:rsidRPr="00FC5978">
        <w:rPr>
          <w:rFonts w:cs="Traditional Arabic" w:hint="cs"/>
          <w:sz w:val="36"/>
          <w:szCs w:val="36"/>
          <w:rtl/>
        </w:rPr>
        <w:t>نجد أعمال شاكر خصباك، وعبد الرحمن مجيد الربيعي، وغائب طعمة فرمان، ومهدي عيسى الصقر، وغانم الدباغ، وفؤاد التكرلي، وعبد الحق فاضل، وعبد الملك نوري، وغيرهم.</w:t>
      </w:r>
    </w:p>
    <w:p w:rsidR="00C870C9" w:rsidRPr="00FC5978" w:rsidRDefault="00C870C9" w:rsidP="00183752">
      <w:pPr>
        <w:bidi/>
        <w:spacing w:after="0" w:line="240" w:lineRule="auto"/>
        <w:ind w:firstLine="720"/>
        <w:jc w:val="both"/>
        <w:rPr>
          <w:rFonts w:cs="Traditional Arabic"/>
          <w:sz w:val="36"/>
          <w:szCs w:val="36"/>
          <w:rtl/>
        </w:rPr>
      </w:pPr>
      <w:r w:rsidRPr="006E0335">
        <w:rPr>
          <w:rFonts w:cs="Traditional Arabic" w:hint="cs"/>
          <w:b/>
          <w:bCs/>
          <w:sz w:val="36"/>
          <w:szCs w:val="36"/>
          <w:rtl/>
        </w:rPr>
        <w:t>وفي الخليج العربي</w:t>
      </w:r>
      <w:r w:rsidRPr="00FC5978">
        <w:rPr>
          <w:rFonts w:cs="Traditional Arabic" w:hint="cs"/>
          <w:sz w:val="36"/>
          <w:szCs w:val="36"/>
          <w:rtl/>
        </w:rPr>
        <w:t xml:space="preserve"> نجد أعمال أحمد يوسف، وعبد الله أحمد باقازي، وفوزية رشيد، وليلى العثمان، وكلثم جبر، ومريم جمعة فرج، وسلمى مطر وغيرهم.</w:t>
      </w:r>
    </w:p>
    <w:p w:rsidR="00C870C9" w:rsidRPr="00FC5978" w:rsidRDefault="00C870C9" w:rsidP="00183752">
      <w:pPr>
        <w:bidi/>
        <w:spacing w:after="0" w:line="240" w:lineRule="auto"/>
        <w:ind w:firstLine="720"/>
        <w:jc w:val="both"/>
        <w:rPr>
          <w:rFonts w:cs="Traditional Arabic"/>
          <w:sz w:val="36"/>
          <w:szCs w:val="36"/>
          <w:rtl/>
        </w:rPr>
      </w:pPr>
      <w:r w:rsidRPr="006E0335">
        <w:rPr>
          <w:rFonts w:cs="Traditional Arabic" w:hint="cs"/>
          <w:b/>
          <w:bCs/>
          <w:sz w:val="36"/>
          <w:szCs w:val="36"/>
          <w:rtl/>
        </w:rPr>
        <w:t>وفي بلاد المغرب العربي</w:t>
      </w:r>
      <w:r w:rsidRPr="00FC5978">
        <w:rPr>
          <w:rFonts w:cs="Traditional Arabic" w:hint="cs"/>
          <w:sz w:val="36"/>
          <w:szCs w:val="36"/>
          <w:rtl/>
        </w:rPr>
        <w:t xml:space="preserve"> نجد بعض أعمال عبد الله العروي، ومحمد زفزاف، وطاهر ابن جلون، وإبراهيم الكوني، وعبد الحميد هدوقة وغيرهم.</w:t>
      </w:r>
    </w:p>
    <w:p w:rsidR="00C870C9" w:rsidRPr="00FC5978" w:rsidRDefault="00C870C9" w:rsidP="00183752">
      <w:pPr>
        <w:bidi/>
        <w:spacing w:after="0" w:line="240" w:lineRule="auto"/>
        <w:ind w:firstLine="720"/>
        <w:jc w:val="both"/>
        <w:rPr>
          <w:rFonts w:cs="Traditional Arabic"/>
          <w:sz w:val="36"/>
          <w:szCs w:val="36"/>
          <w:rtl/>
        </w:rPr>
      </w:pPr>
      <w:r w:rsidRPr="00FC5978">
        <w:rPr>
          <w:rFonts w:cs="Traditional Arabic" w:hint="cs"/>
          <w:sz w:val="36"/>
          <w:szCs w:val="36"/>
          <w:rtl/>
        </w:rPr>
        <w:t>ولعل هذا الكم الكبير من الكتاب الذين ازدهر إنتاجهم القصصي منذ الستينيات وحتى منتصف العقد الأخير من القرن العشرين، يوضح إلى أي مدى ازدهر فن القصة القصيرة، وتطور في أدبنا العربي وأصبح له كتاب في كل قطر عربي، ولعلنا لا نبالغ لو قلنا إن كل قطر من الأقطار العربية لا يخلو من وجود كتاب مجددين في القصة القصيرة، وقد تجاوزوا الشكل الواقعي المألوف، وانطلقوا يحددون في الرؤية والأداة معا. حتى أفرزت أعمالهم هذه الظواهر الفنية المستحدثة. ولما كان من غير اليسير الوقوف عند أعمال كل هؤلاء الكتاب، لذلك سنقف عند نماذج من قصص بعضهم على سبيل التمثيل، لتوضيح أهم هذه السمات المستحدثة في القصة القصيرة.</w:t>
      </w:r>
    </w:p>
    <w:p w:rsidR="00C870C9" w:rsidRPr="00FC5978" w:rsidRDefault="00C870C9" w:rsidP="00183752">
      <w:pPr>
        <w:bidi/>
        <w:spacing w:after="0" w:line="240" w:lineRule="auto"/>
        <w:ind w:firstLine="720"/>
        <w:jc w:val="both"/>
        <w:rPr>
          <w:rFonts w:cs="Traditional Arabic"/>
          <w:sz w:val="36"/>
          <w:szCs w:val="36"/>
          <w:rtl/>
        </w:rPr>
      </w:pPr>
      <w:r w:rsidRPr="00FC5978">
        <w:rPr>
          <w:rFonts w:cs="Traditional Arabic" w:hint="cs"/>
          <w:sz w:val="36"/>
          <w:szCs w:val="36"/>
          <w:rtl/>
        </w:rPr>
        <w:t>ومن الجدير بالذكر أن إرهاصات هذه الملامح المستحدثة قد ظهرت في مرحلة سابقة على الستينيات ولكنها بدأت تزدهر وتنضج وتشكل ظاهرة بارزة في القصة القصيرة منذ أواخر الستينيات وحتى الآن 1995. ونحن نقيس الظاهرة الأدبية وفقا لشيوعها وازدهارها. ولا نقيسها على الحالات الفردية المتناثرة التي ظهرت في بعض الكتابات السابقة على الستينيات.</w:t>
      </w:r>
    </w:p>
    <w:p w:rsidR="00C870C9" w:rsidRPr="00FC5978" w:rsidRDefault="00C870C9" w:rsidP="00183752">
      <w:pPr>
        <w:bidi/>
        <w:spacing w:after="0" w:line="240" w:lineRule="auto"/>
        <w:ind w:firstLine="720"/>
        <w:jc w:val="both"/>
        <w:rPr>
          <w:rFonts w:cs="Traditional Arabic"/>
          <w:sz w:val="36"/>
          <w:szCs w:val="36"/>
          <w:rtl/>
        </w:rPr>
      </w:pPr>
      <w:r w:rsidRPr="00FC5978">
        <w:rPr>
          <w:rFonts w:cs="Traditional Arabic" w:hint="cs"/>
          <w:sz w:val="36"/>
          <w:szCs w:val="36"/>
          <w:rtl/>
        </w:rPr>
        <w:t>ونعد المحاولات الفردية السابقة بمثابة الإرهاصات، أو البذور الجنينية الأولى لهذه الملامح المستحدثة.</w:t>
      </w:r>
    </w:p>
    <w:p w:rsidR="00183752" w:rsidRPr="00877157" w:rsidRDefault="00183752" w:rsidP="00183752">
      <w:pPr>
        <w:shd w:val="clear" w:color="auto" w:fill="E5DFEC" w:themeFill="accent4" w:themeFillTint="33"/>
        <w:bidi/>
        <w:spacing w:after="220" w:line="240" w:lineRule="auto"/>
        <w:ind w:left="-1" w:hanging="10"/>
        <w:jc w:val="center"/>
        <w:rPr>
          <w:rFonts w:ascii="Traditional Arabic" w:hAnsi="Traditional Arabic" w:cs="Traditional Arabic"/>
          <w:sz w:val="32"/>
          <w:szCs w:val="32"/>
        </w:rPr>
      </w:pPr>
      <w:r w:rsidRPr="00877157">
        <w:rPr>
          <w:rFonts w:ascii="Traditional Arabic" w:hAnsi="Traditional Arabic" w:cs="Traditional Arabic"/>
          <w:b/>
          <w:bCs/>
          <w:sz w:val="32"/>
          <w:szCs w:val="32"/>
          <w:rtl/>
        </w:rPr>
        <w:lastRenderedPageBreak/>
        <w:t>الرواية الجديدة :</w:t>
      </w:r>
      <w:r>
        <w:rPr>
          <w:rFonts w:ascii="Traditional Arabic" w:hAnsi="Traditional Arabic" w:cs="Traditional Arabic" w:hint="cs"/>
          <w:b/>
          <w:bCs/>
          <w:sz w:val="32"/>
          <w:szCs w:val="32"/>
          <w:rtl/>
        </w:rPr>
        <w:t>/ المحاضرة 13</w:t>
      </w:r>
    </w:p>
    <w:p w:rsidR="00183752" w:rsidRPr="00877157" w:rsidRDefault="00183752" w:rsidP="00CF7556">
      <w:pPr>
        <w:bidi/>
        <w:spacing w:line="240" w:lineRule="auto"/>
        <w:ind w:left="-11" w:right="-14"/>
        <w:jc w:val="both"/>
        <w:rPr>
          <w:rFonts w:ascii="Traditional Arabic" w:hAnsi="Traditional Arabic" w:cs="Traditional Arabic"/>
          <w:sz w:val="32"/>
          <w:szCs w:val="32"/>
        </w:rPr>
      </w:pPr>
      <w:r w:rsidRPr="00877157">
        <w:rPr>
          <w:rFonts w:ascii="Traditional Arabic" w:hAnsi="Traditional Arabic" w:cs="Traditional Arabic"/>
          <w:sz w:val="32"/>
          <w:szCs w:val="32"/>
          <w:rtl/>
        </w:rPr>
        <w:t>بدأت فترة نهضوية متميزة بالأحداث و من أهمها "هزيمة</w:t>
      </w:r>
      <w:r>
        <w:rPr>
          <w:rFonts w:ascii="Traditional Arabic" w:hAnsi="Traditional Arabic" w:cs="Traditional Arabic" w:hint="cs"/>
          <w:sz w:val="32"/>
          <w:szCs w:val="32"/>
          <w:rtl/>
        </w:rPr>
        <w:t>19</w:t>
      </w:r>
      <w:r w:rsidR="00CF7556">
        <w:rPr>
          <w:rFonts w:ascii="Traditional Arabic" w:hAnsi="Traditional Arabic" w:cs="Traditional Arabic" w:hint="cs"/>
          <w:sz w:val="32"/>
          <w:szCs w:val="32"/>
          <w:rtl/>
        </w:rPr>
        <w:t>67</w:t>
      </w:r>
      <w:r w:rsidRPr="00877157">
        <w:rPr>
          <w:rFonts w:ascii="Traditional Arabic" w:hAnsi="Traditional Arabic" w:cs="Traditional Arabic"/>
          <w:sz w:val="32"/>
          <w:szCs w:val="32"/>
          <w:rtl/>
        </w:rPr>
        <w:t>" هذه الهزيمة التي أجبرت الروائي العربي  إلى إعادة النظر في تيار الرواية الذي كان سائدا قبل الهزيمة ،فه</w:t>
      </w:r>
      <w:r>
        <w:rPr>
          <w:rFonts w:ascii="Traditional Arabic" w:hAnsi="Traditional Arabic" w:cs="Traditional Arabic"/>
          <w:sz w:val="32"/>
          <w:szCs w:val="32"/>
          <w:rtl/>
        </w:rPr>
        <w:t>ذه الفترة التاريخية  ذات الخصوصي</w:t>
      </w:r>
      <w:r w:rsidRPr="00877157">
        <w:rPr>
          <w:rFonts w:ascii="Traditional Arabic" w:hAnsi="Traditional Arabic" w:cs="Traditional Arabic"/>
          <w:sz w:val="32"/>
          <w:szCs w:val="32"/>
          <w:rtl/>
        </w:rPr>
        <w:t>ات الواضحة دفعت الرواية كشكل أدبي مستحدث أن تنشأ و تتطور عبر كثير من التجارب. و ارتبطت الرواية العربية الجديدة بالتغييرات التي سيعرفها المجتمع العربي  و ستنعكس في الرواية لطبيعتها القابلة للتعبير عن كل مظاهر المجتمع الجديدة، حيث يتداخل فيها المتخيل بالواقع. و حاول ا</w:t>
      </w:r>
      <w:r>
        <w:rPr>
          <w:rFonts w:ascii="Traditional Arabic" w:hAnsi="Traditional Arabic" w:cs="Traditional Arabic"/>
          <w:sz w:val="32"/>
          <w:szCs w:val="32"/>
          <w:rtl/>
        </w:rPr>
        <w:t>لروائيون الجدد استيعاب كل التحو</w:t>
      </w:r>
      <w:r w:rsidRPr="00877157">
        <w:rPr>
          <w:rFonts w:ascii="Traditional Arabic" w:hAnsi="Traditional Arabic" w:cs="Traditional Arabic"/>
          <w:sz w:val="32"/>
          <w:szCs w:val="32"/>
          <w:rtl/>
        </w:rPr>
        <w:t>لات التي وقعت في المجتمع العربي د</w:t>
      </w:r>
      <w:r>
        <w:rPr>
          <w:rFonts w:ascii="Traditional Arabic" w:hAnsi="Traditional Arabic" w:cs="Traditional Arabic"/>
          <w:sz w:val="32"/>
          <w:szCs w:val="32"/>
          <w:rtl/>
        </w:rPr>
        <w:t>ون العناية بطابع المحلية و حصر</w:t>
      </w:r>
      <w:r w:rsidRPr="00877157">
        <w:rPr>
          <w:rFonts w:ascii="Traditional Arabic" w:hAnsi="Traditional Arabic" w:cs="Traditional Arabic"/>
          <w:sz w:val="32"/>
          <w:szCs w:val="32"/>
          <w:rtl/>
        </w:rPr>
        <w:t xml:space="preserve">هم فيها كما فعل الجيل السابق. </w:t>
      </w:r>
    </w:p>
    <w:p w:rsidR="00183752" w:rsidRPr="00877157" w:rsidRDefault="00183752" w:rsidP="00183752">
      <w:pPr>
        <w:bidi/>
        <w:spacing w:line="240" w:lineRule="auto"/>
        <w:ind w:left="-11" w:right="-14"/>
        <w:jc w:val="both"/>
        <w:rPr>
          <w:rFonts w:ascii="Traditional Arabic" w:hAnsi="Traditional Arabic" w:cs="Traditional Arabic"/>
          <w:sz w:val="32"/>
          <w:szCs w:val="32"/>
        </w:rPr>
      </w:pPr>
      <w:r w:rsidRPr="00877157">
        <w:rPr>
          <w:rFonts w:ascii="Traditional Arabic" w:hAnsi="Traditional Arabic" w:cs="Traditional Arabic"/>
          <w:sz w:val="32"/>
          <w:szCs w:val="32"/>
          <w:rtl/>
        </w:rPr>
        <w:t>و يؤكد الروائي "عبد الر</w:t>
      </w:r>
      <w:r>
        <w:rPr>
          <w:rFonts w:ascii="Traditional Arabic" w:hAnsi="Traditional Arabic" w:cs="Traditional Arabic"/>
          <w:sz w:val="32"/>
          <w:szCs w:val="32"/>
          <w:rtl/>
        </w:rPr>
        <w:t>حمان منيف" على أن هذه الهزيمة شك</w:t>
      </w:r>
      <w:r w:rsidRPr="00877157">
        <w:rPr>
          <w:rFonts w:ascii="Traditional Arabic" w:hAnsi="Traditional Arabic" w:cs="Traditional Arabic"/>
          <w:sz w:val="32"/>
          <w:szCs w:val="32"/>
          <w:rtl/>
        </w:rPr>
        <w:t xml:space="preserve">لت ولادة جديدة للرواية العربية لأنها أحدثت تراكما على مستوى الإنتاج  </w:t>
      </w:r>
      <w:r w:rsidRPr="00877157">
        <w:rPr>
          <w:rFonts w:ascii="Traditional Arabic" w:hAnsi="Traditional Arabic" w:cs="Traditional Arabic" w:hint="cs"/>
          <w:sz w:val="32"/>
          <w:szCs w:val="32"/>
          <w:rtl/>
        </w:rPr>
        <w:t>إذ</w:t>
      </w:r>
      <w:r w:rsidRPr="00877157">
        <w:rPr>
          <w:rFonts w:ascii="Traditional Arabic" w:hAnsi="Traditional Arabic" w:cs="Traditional Arabic"/>
          <w:sz w:val="32"/>
          <w:szCs w:val="32"/>
          <w:rtl/>
        </w:rPr>
        <w:t xml:space="preserve"> دفعت </w:t>
      </w:r>
      <w:r w:rsidRPr="00877157">
        <w:rPr>
          <w:rFonts w:ascii="Traditional Arabic" w:hAnsi="Traditional Arabic" w:cs="Traditional Arabic" w:hint="cs"/>
          <w:sz w:val="32"/>
          <w:szCs w:val="32"/>
          <w:rtl/>
        </w:rPr>
        <w:t>إلى</w:t>
      </w:r>
      <w:r w:rsidRPr="00877157">
        <w:rPr>
          <w:rFonts w:ascii="Traditional Arabic" w:hAnsi="Traditional Arabic" w:cs="Traditional Arabic"/>
          <w:sz w:val="32"/>
          <w:szCs w:val="32"/>
          <w:rtl/>
        </w:rPr>
        <w:t xml:space="preserve"> السطح العديد من الأسئلة و المواضيع الساخنة و التي تتطلب المواجهة والمعالجة ،و ظهر هذا التأثير الذي أحدثته الهزيمة حسب "عبد الرحمان منيف" من خلال ما يلي : </w:t>
      </w:r>
    </w:p>
    <w:p w:rsidR="00183752" w:rsidRPr="00877157" w:rsidRDefault="00183752" w:rsidP="00183752">
      <w:pPr>
        <w:bidi/>
        <w:spacing w:line="240" w:lineRule="auto"/>
        <w:ind w:left="-11" w:right="-14"/>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ـ </w:t>
      </w:r>
      <w:r w:rsidRPr="00877157">
        <w:rPr>
          <w:rFonts w:ascii="Traditional Arabic" w:hAnsi="Traditional Arabic" w:cs="Traditional Arabic"/>
          <w:sz w:val="32"/>
          <w:szCs w:val="32"/>
          <w:rtl/>
        </w:rPr>
        <w:t xml:space="preserve">تراجع التيار الوجودي و الواقعي الذي ساد في الخمسينات و الستينات لتطرح بدلا منه رواية تهتم بالهم القومي و قضايا أخرى.  </w:t>
      </w:r>
    </w:p>
    <w:p w:rsidR="00183752" w:rsidRPr="00877157" w:rsidRDefault="00183752" w:rsidP="00183752">
      <w:pPr>
        <w:bidi/>
        <w:spacing w:after="248" w:line="240" w:lineRule="auto"/>
        <w:ind w:left="-11" w:right="-14"/>
        <w:jc w:val="both"/>
        <w:rPr>
          <w:rFonts w:ascii="Traditional Arabic" w:hAnsi="Traditional Arabic" w:cs="Traditional Arabic"/>
          <w:sz w:val="32"/>
          <w:szCs w:val="32"/>
        </w:rPr>
      </w:pPr>
      <w:r>
        <w:rPr>
          <w:rFonts w:ascii="Traditional Arabic" w:hAnsi="Traditional Arabic" w:cs="Traditional Arabic"/>
          <w:sz w:val="32"/>
          <w:szCs w:val="32"/>
          <w:rtl/>
        </w:rPr>
        <w:t>ـ بهذا التطور تراجع المركز الموج</w:t>
      </w:r>
      <w:r w:rsidRPr="00877157">
        <w:rPr>
          <w:rFonts w:ascii="Traditional Arabic" w:hAnsi="Traditional Arabic" w:cs="Traditional Arabic"/>
          <w:sz w:val="32"/>
          <w:szCs w:val="32"/>
          <w:rtl/>
        </w:rPr>
        <w:t>ه و المسيطر سابقا و الذي هو "مصر" قياسا بالماضي لتبدأ</w:t>
      </w:r>
      <w:r>
        <w:rPr>
          <w:rFonts w:ascii="Traditional Arabic" w:hAnsi="Traditional Arabic" w:cs="Traditional Arabic"/>
          <w:sz w:val="32"/>
          <w:szCs w:val="32"/>
          <w:rtl/>
        </w:rPr>
        <w:t xml:space="preserve"> بقية المناطق العربية تعرف تطو </w:t>
      </w:r>
      <w:r w:rsidRPr="00877157">
        <w:rPr>
          <w:rFonts w:ascii="Traditional Arabic" w:hAnsi="Traditional Arabic" w:cs="Traditional Arabic"/>
          <w:sz w:val="32"/>
          <w:szCs w:val="32"/>
          <w:rtl/>
        </w:rPr>
        <w:t xml:space="preserve">ر هذا الجنس مما أدى الى تغيير خريطة الرواية التي امتلأت بأسماء عربية و </w:t>
      </w:r>
      <w:r w:rsidRPr="00877157">
        <w:rPr>
          <w:rFonts w:ascii="Traditional Arabic" w:hAnsi="Traditional Arabic" w:cs="Traditional Arabic" w:hint="cs"/>
          <w:sz w:val="32"/>
          <w:szCs w:val="32"/>
          <w:rtl/>
        </w:rPr>
        <w:t>إنتاج</w:t>
      </w:r>
      <w:r>
        <w:rPr>
          <w:rFonts w:ascii="Traditional Arabic" w:hAnsi="Traditional Arabic" w:cs="Traditional Arabic"/>
          <w:sz w:val="32"/>
          <w:szCs w:val="32"/>
          <w:rtl/>
        </w:rPr>
        <w:t xml:space="preserve"> متنوع</w:t>
      </w:r>
      <w:r w:rsidRPr="00877157">
        <w:rPr>
          <w:rFonts w:ascii="Traditional Arabic" w:hAnsi="Traditional Arabic" w:cs="Traditional Arabic"/>
          <w:sz w:val="32"/>
          <w:szCs w:val="32"/>
          <w:rtl/>
        </w:rPr>
        <w:t xml:space="preserve"> تفترق على المستوى الجغرافي و لكنها تلتقي في</w:t>
      </w:r>
      <w:r>
        <w:rPr>
          <w:rFonts w:ascii="Traditional Arabic" w:hAnsi="Traditional Arabic" w:cs="Traditional Arabic"/>
          <w:sz w:val="32"/>
          <w:szCs w:val="32"/>
          <w:rtl/>
        </w:rPr>
        <w:t xml:space="preserve"> قضايا و موضوعات مشتركة كالحري</w:t>
      </w:r>
      <w:r w:rsidRPr="00877157">
        <w:rPr>
          <w:rFonts w:ascii="Traditional Arabic" w:hAnsi="Traditional Arabic" w:cs="Traditional Arabic"/>
          <w:sz w:val="32"/>
          <w:szCs w:val="32"/>
          <w:rtl/>
        </w:rPr>
        <w:t xml:space="preserve">ة ،و التحرر ،و السياسة ،و </w:t>
      </w:r>
      <w:r w:rsidRPr="00877157">
        <w:rPr>
          <w:rFonts w:ascii="Traditional Arabic" w:hAnsi="Traditional Arabic" w:cs="Traditional Arabic" w:hint="cs"/>
          <w:sz w:val="32"/>
          <w:szCs w:val="32"/>
          <w:rtl/>
        </w:rPr>
        <w:t>الانتماء</w:t>
      </w:r>
      <w:r w:rsidRPr="00877157">
        <w:rPr>
          <w:rFonts w:ascii="Traditional Arabic" w:hAnsi="Traditional Arabic" w:cs="Traditional Arabic"/>
          <w:sz w:val="32"/>
          <w:szCs w:val="32"/>
          <w:rtl/>
        </w:rPr>
        <w:t xml:space="preserve"> الوطني و القومي ،و القضي</w:t>
      </w:r>
      <w:r>
        <w:rPr>
          <w:rFonts w:ascii="Traditional Arabic" w:hAnsi="Traditional Arabic" w:cs="Traditional Arabic"/>
          <w:sz w:val="32"/>
          <w:szCs w:val="32"/>
          <w:rtl/>
        </w:rPr>
        <w:t>ة الفلسطينية و الص</w:t>
      </w:r>
      <w:r w:rsidRPr="00877157">
        <w:rPr>
          <w:rFonts w:ascii="Traditional Arabic" w:hAnsi="Traditional Arabic" w:cs="Traditional Arabic"/>
          <w:sz w:val="32"/>
          <w:szCs w:val="32"/>
          <w:rtl/>
        </w:rPr>
        <w:t xml:space="preserve">راع الطبقي. </w:t>
      </w:r>
    </w:p>
    <w:p w:rsidR="00183752" w:rsidRPr="00877157" w:rsidRDefault="00183752" w:rsidP="00183752">
      <w:pPr>
        <w:bidi/>
        <w:spacing w:line="240" w:lineRule="auto"/>
        <w:ind w:left="-11" w:right="-14"/>
        <w:jc w:val="both"/>
        <w:rPr>
          <w:rFonts w:ascii="Traditional Arabic" w:hAnsi="Traditional Arabic" w:cs="Traditional Arabic"/>
          <w:sz w:val="32"/>
          <w:szCs w:val="32"/>
        </w:rPr>
      </w:pPr>
      <w:r w:rsidRPr="00877157">
        <w:rPr>
          <w:rFonts w:ascii="Traditional Arabic" w:hAnsi="Traditional Arabic" w:cs="Traditional Arabic"/>
          <w:sz w:val="32"/>
          <w:szCs w:val="32"/>
          <w:rtl/>
        </w:rPr>
        <w:t xml:space="preserve">فهذه الرواية الجديدة عرفت تحويرات في مضامينها و أشكالها، بالمقارنة مع الشكل الروائي السابق  ،و خرجت عن نمطها الكلاسيكي المتمثل في الرواية التعليمية و الرومانسية و الواقعية لتصبح ضمن الإطار العام حاملة لخلفية فكرية وراء شكلها الإبداعي. </w:t>
      </w:r>
    </w:p>
    <w:p w:rsidR="00183752" w:rsidRPr="00877157" w:rsidRDefault="00183752" w:rsidP="00183752">
      <w:pPr>
        <w:bidi/>
        <w:spacing w:line="240" w:lineRule="auto"/>
        <w:ind w:left="-11" w:right="-14"/>
        <w:jc w:val="both"/>
        <w:rPr>
          <w:rFonts w:ascii="Traditional Arabic" w:hAnsi="Traditional Arabic" w:cs="Traditional Arabic"/>
          <w:sz w:val="32"/>
          <w:szCs w:val="32"/>
        </w:rPr>
      </w:pPr>
      <w:r w:rsidRPr="00877157">
        <w:rPr>
          <w:rFonts w:ascii="Traditional Arabic" w:hAnsi="Traditional Arabic" w:cs="Traditional Arabic"/>
          <w:sz w:val="32"/>
          <w:szCs w:val="32"/>
          <w:rtl/>
        </w:rPr>
        <w:t xml:space="preserve"> في هذه المرحلة إذن استطاعت الرواية أن تتطور وتتقدم  حيث تخلصت من عيوب  الأسلوب و التشكيل، مما جعل الرواية تنفصل أكثر فأكثر عن التقليد الأوروبي و جعلها تعرف التطور و التقدم كمثيلتها  الغربية. </w:t>
      </w:r>
    </w:p>
    <w:p w:rsidR="004D3D46" w:rsidRDefault="00183752" w:rsidP="00183752">
      <w:pPr>
        <w:bidi/>
        <w:spacing w:line="240" w:lineRule="auto"/>
        <w:ind w:left="-11" w:right="-14"/>
        <w:jc w:val="both"/>
        <w:rPr>
          <w:rFonts w:ascii="Traditional Arabic" w:hAnsi="Traditional Arabic" w:cs="Traditional Arabic" w:hint="cs"/>
          <w:sz w:val="32"/>
          <w:szCs w:val="32"/>
          <w:rtl/>
        </w:rPr>
      </w:pPr>
      <w:r w:rsidRPr="00877157">
        <w:rPr>
          <w:rFonts w:ascii="Traditional Arabic" w:hAnsi="Traditional Arabic" w:cs="Traditional Arabic"/>
          <w:sz w:val="32"/>
          <w:szCs w:val="32"/>
          <w:rtl/>
        </w:rPr>
        <w:t xml:space="preserve">فالهزيمة أبعدت الروائيين الجدد عن الرواية التقليدية و أظهرت أنماطا روائية جديدة. فجاءت أغلب الروايات منقطعة عن جذورها الكلاسيكية.   </w:t>
      </w:r>
    </w:p>
    <w:p w:rsidR="00183752" w:rsidRPr="00454523" w:rsidRDefault="00454523" w:rsidP="00454523">
      <w:pPr>
        <w:shd w:val="clear" w:color="auto" w:fill="C2D69B" w:themeFill="accent3" w:themeFillTint="99"/>
        <w:bidi/>
        <w:spacing w:line="240" w:lineRule="auto"/>
        <w:ind w:left="-11" w:right="-14"/>
        <w:jc w:val="center"/>
        <w:rPr>
          <w:rFonts w:ascii="Traditional Arabic" w:hAnsi="Traditional Arabic" w:cs="Traditional Arabic"/>
          <w:b/>
          <w:bCs/>
          <w:sz w:val="32"/>
          <w:szCs w:val="32"/>
        </w:rPr>
      </w:pPr>
      <w:r w:rsidRPr="00454523">
        <w:rPr>
          <w:rFonts w:ascii="Traditional Arabic" w:hAnsi="Traditional Arabic" w:cs="Traditional Arabic" w:hint="cs"/>
          <w:b/>
          <w:bCs/>
          <w:sz w:val="32"/>
          <w:szCs w:val="32"/>
          <w:rtl/>
        </w:rPr>
        <w:t>المحاضرة 14 : المسرحية</w:t>
      </w:r>
    </w:p>
    <w:p w:rsidR="00454523" w:rsidRPr="00F91ED5" w:rsidRDefault="00454523" w:rsidP="00454523">
      <w:pPr>
        <w:bidi/>
        <w:rPr>
          <w:rFonts w:ascii="Traditional Arabic" w:hAnsi="Traditional Arabic" w:cs="Traditional Arabic"/>
          <w:b/>
          <w:bCs/>
          <w:color w:val="333333"/>
          <w:sz w:val="32"/>
          <w:szCs w:val="32"/>
          <w:shd w:val="clear" w:color="auto" w:fill="FFFFFF"/>
          <w:rtl/>
        </w:rPr>
      </w:pPr>
      <w:r w:rsidRPr="00F91ED5">
        <w:rPr>
          <w:rFonts w:ascii="Traditional Arabic" w:hAnsi="Traditional Arabic" w:cs="Traditional Arabic"/>
          <w:b/>
          <w:bCs/>
          <w:color w:val="333333"/>
          <w:sz w:val="32"/>
          <w:szCs w:val="32"/>
          <w:shd w:val="clear" w:color="auto" w:fill="FFFFFF"/>
          <w:rtl/>
        </w:rPr>
        <w:t>أنواع المسرحيّة</w:t>
      </w:r>
    </w:p>
    <w:p w:rsidR="00454523" w:rsidRPr="00F91ED5" w:rsidRDefault="00454523" w:rsidP="00454523">
      <w:pPr>
        <w:bidi/>
        <w:rPr>
          <w:rFonts w:ascii="Traditional Arabic" w:hAnsi="Traditional Arabic" w:cs="Traditional Arabic"/>
          <w:color w:val="333333"/>
          <w:sz w:val="32"/>
          <w:szCs w:val="32"/>
          <w:shd w:val="clear" w:color="auto" w:fill="FFFFFF"/>
          <w:rtl/>
        </w:rPr>
      </w:pPr>
      <w:r w:rsidRPr="00F91ED5">
        <w:rPr>
          <w:rFonts w:ascii="Traditional Arabic" w:hAnsi="Traditional Arabic" w:cs="Traditional Arabic"/>
          <w:color w:val="333333"/>
          <w:sz w:val="32"/>
          <w:szCs w:val="32"/>
          <w:shd w:val="clear" w:color="auto" w:fill="FFFFFF"/>
          <w:rtl/>
        </w:rPr>
        <w:t xml:space="preserve"> تنقسم المسرحيّة عامّة إلى نوعين الأول هو المسرحيّة الكوميديّة المعروفة باسم "الملْهَاة"، أمّا الثّاني فهو المسرحيّة التّراجيديّة المعروفة باسم "المأساة"، وفي العصر الحديث تم التّفريق بين هذين النّوعين بناءً على نهاية المسرحيّة، "هل كانت سعيدة أم حزينة؟"، فالنّهاية السّعيدة ارتبطت بالملهاة، أمّا النّهاية التي يُهزم فيها البطل أو يموت -وهذا على الأغلب- فهي مسرحيّة المأساة، وتُعتبر هذه النّهاية </w:t>
      </w:r>
      <w:r w:rsidRPr="00F91ED5">
        <w:rPr>
          <w:rFonts w:ascii="Traditional Arabic" w:hAnsi="Traditional Arabic" w:cs="Traditional Arabic"/>
          <w:color w:val="333333"/>
          <w:sz w:val="32"/>
          <w:szCs w:val="32"/>
          <w:shd w:val="clear" w:color="auto" w:fill="FFFFFF"/>
          <w:rtl/>
        </w:rPr>
        <w:lastRenderedPageBreak/>
        <w:t>مُميّزة مُقارنة بالملهاة، وفيما يلي الأنواع كاملة بالتّفصيل</w:t>
      </w:r>
      <w:r w:rsidRPr="00F91ED5">
        <w:rPr>
          <w:rFonts w:ascii="Traditional Arabic" w:hAnsi="Traditional Arabic" w:cs="Traditional Arabic"/>
          <w:color w:val="333333"/>
          <w:sz w:val="32"/>
          <w:szCs w:val="32"/>
          <w:shd w:val="clear" w:color="auto" w:fill="FFFFFF"/>
        </w:rPr>
        <w:t>:</w:t>
      </w:r>
      <w:r w:rsidRPr="00F91ED5">
        <w:rPr>
          <w:rFonts w:ascii="Traditional Arabic" w:hAnsi="Traditional Arabic" w:cs="Traditional Arabic"/>
          <w:color w:val="333333"/>
          <w:sz w:val="32"/>
          <w:szCs w:val="32"/>
        </w:rPr>
        <w:br/>
      </w:r>
    </w:p>
    <w:p w:rsidR="00454523" w:rsidRPr="00F91ED5" w:rsidRDefault="00454523" w:rsidP="00454523">
      <w:pPr>
        <w:bidi/>
        <w:rPr>
          <w:rFonts w:ascii="Traditional Arabic" w:hAnsi="Traditional Arabic" w:cs="Traditional Arabic"/>
          <w:b/>
          <w:bCs/>
          <w:color w:val="333333"/>
          <w:sz w:val="32"/>
          <w:szCs w:val="32"/>
          <w:shd w:val="clear" w:color="auto" w:fill="FFFFFF"/>
          <w:rtl/>
        </w:rPr>
      </w:pPr>
      <w:r w:rsidRPr="00F91ED5">
        <w:rPr>
          <w:rFonts w:ascii="Traditional Arabic" w:hAnsi="Traditional Arabic" w:cs="Traditional Arabic"/>
          <w:b/>
          <w:bCs/>
          <w:color w:val="333333"/>
          <w:sz w:val="32"/>
          <w:szCs w:val="32"/>
          <w:shd w:val="clear" w:color="auto" w:fill="FFFFFF"/>
          <w:rtl/>
        </w:rPr>
        <w:t xml:space="preserve">التراجيديا-المأساة: </w:t>
      </w:r>
    </w:p>
    <w:p w:rsidR="00454523" w:rsidRPr="00F91ED5" w:rsidRDefault="00454523" w:rsidP="00454523">
      <w:pPr>
        <w:bidi/>
        <w:rPr>
          <w:rFonts w:ascii="Traditional Arabic" w:hAnsi="Traditional Arabic" w:cs="Traditional Arabic"/>
          <w:b/>
          <w:bCs/>
          <w:color w:val="333333"/>
          <w:sz w:val="32"/>
          <w:szCs w:val="32"/>
          <w:shd w:val="clear" w:color="auto" w:fill="FFFFFF"/>
          <w:rtl/>
        </w:rPr>
      </w:pPr>
      <w:r w:rsidRPr="00F91ED5">
        <w:rPr>
          <w:rFonts w:ascii="Traditional Arabic" w:hAnsi="Traditional Arabic" w:cs="Traditional Arabic"/>
          <w:color w:val="333333"/>
          <w:sz w:val="32"/>
          <w:szCs w:val="32"/>
          <w:shd w:val="clear" w:color="auto" w:fill="FFFFFF"/>
          <w:rtl/>
        </w:rPr>
        <w:t>هذا النّوع من المسرحيّات مُتمثّل بعرض الشّخصيّات العظيمة تحت اسم البطل، فكانت سابقاً تتناول الآلهة في زمن الإغريق، ثمّ تطرّقت إلى من يُعدّون أنصاف آلهة عند البشر، حتّى أصبح الإنسان هو البطل في عصر النّهضة تحديداً لاعتباره محور الكون حينها، فكانت الشّخصيّات في هذه الفترة تتمثّل بالمُلوك والأُمراء، ثمّ تحوّلت فكرة البطولة تلك إلى الشّخصيّة الرّئيسيّة في المسرحيّة، فأصبحت تتحدّث عن عوام النّاس، وتتناول المواضيع بشكل جادّ، وأكثر حِديّة أيضًا عاطفيّاً، بالإضافة إلى كونها أكثر جودة من ناحية الصّياغة الّلغويّة، مع ذلك يرى النّقاد أنّ من يكتب المأساة عليه أن يكون شاعراً، كما يتناول هذا النّوع الموضوعات العالميّة والقيم الإنسانيّة العالية، بالإضافة إلى ارتباطه عادةً بالشّخصيّات المُهمّة ذات المكانة الكبيرة، وهُناك نوع مُميّز من المسرحيّات التّراجيديّة اسمها المأساة البرجوازيّة وتُعرَف كذلك باسم مأساة الحياة العامّة، ومن الكُتّاب المسرحيّين التّراجيديين</w:t>
      </w:r>
      <w:r w:rsidRPr="00F91ED5">
        <w:rPr>
          <w:rFonts w:ascii="Traditional Arabic" w:hAnsi="Traditional Arabic" w:cs="Traditional Arabic"/>
          <w:color w:val="333333"/>
          <w:sz w:val="32"/>
          <w:szCs w:val="32"/>
          <w:shd w:val="clear" w:color="auto" w:fill="FFFFFF"/>
        </w:rPr>
        <w:t>:</w:t>
      </w:r>
      <w:r w:rsidRPr="00F91ED5">
        <w:rPr>
          <w:rFonts w:ascii="Traditional Arabic" w:hAnsi="Traditional Arabic" w:cs="Traditional Arabic"/>
          <w:color w:val="333333"/>
          <w:sz w:val="32"/>
          <w:szCs w:val="32"/>
        </w:rPr>
        <w:br/>
      </w:r>
      <w:r w:rsidRPr="00F91ED5">
        <w:rPr>
          <w:rFonts w:ascii="Traditional Arabic" w:hAnsi="Traditional Arabic" w:cs="Traditional Arabic"/>
          <w:color w:val="333333"/>
          <w:sz w:val="32"/>
          <w:szCs w:val="32"/>
        </w:rPr>
        <w:br/>
      </w:r>
      <w:r w:rsidRPr="00C45E0C">
        <w:rPr>
          <w:rFonts w:ascii="Traditional Arabic" w:hAnsi="Traditional Arabic" w:cs="Traditional Arabic"/>
          <w:b/>
          <w:bCs/>
          <w:color w:val="333333"/>
          <w:sz w:val="32"/>
          <w:szCs w:val="32"/>
          <w:shd w:val="clear" w:color="auto" w:fill="FFFFFF"/>
          <w:rtl/>
        </w:rPr>
        <w:t>سوفوكليس:</w:t>
      </w:r>
      <w:r w:rsidRPr="00F91ED5">
        <w:rPr>
          <w:rFonts w:ascii="Traditional Arabic" w:hAnsi="Traditional Arabic" w:cs="Traditional Arabic"/>
          <w:color w:val="333333"/>
          <w:sz w:val="32"/>
          <w:szCs w:val="32"/>
          <w:shd w:val="clear" w:color="auto" w:fill="FFFFFF"/>
          <w:rtl/>
        </w:rPr>
        <w:t xml:space="preserve"> أحدُ المسرحيّين التّراجيديين اليونانيّن القُدماء، وهو مُؤلّف مسرحيّ في الأدب اليونانيّ ألّف ما يُقارب 113 مسرحيّة موجود منها 7 فقط، وممّا يُشير إليه في مسرحيّاته الصّراع الإنسانيّ في الاختيار بين أخلاقه وبين مقاديره</w:t>
      </w:r>
      <w:r w:rsidRPr="00F91ED5">
        <w:rPr>
          <w:rFonts w:ascii="Traditional Arabic" w:hAnsi="Traditional Arabic" w:cs="Traditional Arabic"/>
          <w:color w:val="333333"/>
          <w:sz w:val="32"/>
          <w:szCs w:val="32"/>
          <w:shd w:val="clear" w:color="auto" w:fill="FFFFFF"/>
        </w:rPr>
        <w:t>.</w:t>
      </w:r>
      <w:r w:rsidRPr="00F91ED5">
        <w:rPr>
          <w:rFonts w:ascii="Traditional Arabic" w:hAnsi="Traditional Arabic" w:cs="Traditional Arabic"/>
          <w:color w:val="333333"/>
          <w:sz w:val="32"/>
          <w:szCs w:val="32"/>
        </w:rPr>
        <w:br/>
      </w:r>
      <w:r w:rsidRPr="00F91ED5">
        <w:rPr>
          <w:rFonts w:ascii="Traditional Arabic" w:hAnsi="Traditional Arabic" w:cs="Traditional Arabic"/>
          <w:color w:val="333333"/>
          <w:sz w:val="32"/>
          <w:szCs w:val="32"/>
        </w:rPr>
        <w:br/>
      </w:r>
      <w:r w:rsidRPr="00C45E0C">
        <w:rPr>
          <w:rFonts w:ascii="Traditional Arabic" w:hAnsi="Traditional Arabic" w:cs="Traditional Arabic"/>
          <w:b/>
          <w:bCs/>
          <w:color w:val="333333"/>
          <w:sz w:val="32"/>
          <w:szCs w:val="32"/>
          <w:shd w:val="clear" w:color="auto" w:fill="FFFFFF"/>
          <w:rtl/>
        </w:rPr>
        <w:t>يوربيد:</w:t>
      </w:r>
      <w:r w:rsidRPr="00F91ED5">
        <w:rPr>
          <w:rFonts w:ascii="Traditional Arabic" w:hAnsi="Traditional Arabic" w:cs="Traditional Arabic"/>
          <w:color w:val="333333"/>
          <w:sz w:val="32"/>
          <w:szCs w:val="32"/>
          <w:shd w:val="clear" w:color="auto" w:fill="FFFFFF"/>
          <w:rtl/>
        </w:rPr>
        <w:t xml:space="preserve"> هو مُؤلّف مسرحيّ يونانيّ كتب ما يُقارب 92 مسرحيّة لم يصلنا إلّا القليل منها، صوّر في مسرحيّاته أنّ حقيقة الأمور مكنونها الدّاخليّ شرّ، وعلى عكس سوفوكليس الذي لا يرى أهميّة للصراع الإنسانيّ فلم يصل يوربيد إلى المعنى التّراجيديّ على الرّغم من امتلاكه بعض المسرحيّات ذات الطّابع الجِدّيّ والخَطِر</w:t>
      </w:r>
      <w:r w:rsidRPr="00F91ED5">
        <w:rPr>
          <w:rFonts w:ascii="Traditional Arabic" w:hAnsi="Traditional Arabic" w:cs="Traditional Arabic"/>
          <w:color w:val="333333"/>
          <w:sz w:val="32"/>
          <w:szCs w:val="32"/>
        </w:rPr>
        <w:br/>
      </w:r>
      <w:r w:rsidRPr="00F91ED5">
        <w:rPr>
          <w:rFonts w:ascii="Traditional Arabic" w:hAnsi="Traditional Arabic" w:cs="Traditional Arabic"/>
          <w:color w:val="333333"/>
          <w:sz w:val="32"/>
          <w:szCs w:val="32"/>
        </w:rPr>
        <w:br/>
      </w:r>
      <w:r w:rsidRPr="00F91ED5">
        <w:rPr>
          <w:rFonts w:ascii="Traditional Arabic" w:hAnsi="Traditional Arabic" w:cs="Traditional Arabic"/>
          <w:b/>
          <w:bCs/>
          <w:color w:val="333333"/>
          <w:sz w:val="32"/>
          <w:szCs w:val="32"/>
          <w:shd w:val="clear" w:color="auto" w:fill="FFFFFF"/>
          <w:rtl/>
        </w:rPr>
        <w:t xml:space="preserve">الكوميديا-الملهاة: </w:t>
      </w:r>
    </w:p>
    <w:p w:rsidR="00454523" w:rsidRPr="00F91ED5" w:rsidRDefault="00454523" w:rsidP="00454523">
      <w:pPr>
        <w:bidi/>
        <w:rPr>
          <w:rFonts w:ascii="Traditional Arabic" w:hAnsi="Traditional Arabic" w:cs="Traditional Arabic"/>
          <w:sz w:val="32"/>
          <w:szCs w:val="32"/>
          <w:rtl/>
        </w:rPr>
      </w:pPr>
      <w:r w:rsidRPr="00F91ED5">
        <w:rPr>
          <w:rFonts w:ascii="Traditional Arabic" w:hAnsi="Traditional Arabic" w:cs="Traditional Arabic"/>
          <w:color w:val="333333"/>
          <w:sz w:val="32"/>
          <w:szCs w:val="32"/>
          <w:shd w:val="clear" w:color="auto" w:fill="FFFFFF"/>
          <w:rtl/>
        </w:rPr>
        <w:t>هو النّوع الثّاني من المسرحيّات الذي يتناول الشّخصيّات الثّانويّة ويتطرّق إلى الشّؤون الحياتيّة العامّة، فيهتمّ فيها جيّداً، بالإضافة إلى تطرقه للمواضيع الواقعيّة مثل المُشكلات اليوميّة، وهذا ما يجعلها تحمل طابعاً محلّياً لذلك نجد الحِسّ الفُكاهيّ أساساً فيها، وتنقسّم مسرحيّات الكوميديا إلى ثلاثة أنواع رئيسيّة هي: ملهاة الأخلاق، وملهاة الرّومانتيكيّة، وملهاة الفارص، وهي على النّحو التّالي</w:t>
      </w:r>
      <w:r w:rsidRPr="00F91ED5">
        <w:rPr>
          <w:rFonts w:ascii="Traditional Arabic" w:hAnsi="Traditional Arabic" w:cs="Traditional Arabic"/>
          <w:color w:val="333333"/>
          <w:sz w:val="32"/>
          <w:szCs w:val="32"/>
          <w:shd w:val="clear" w:color="auto" w:fill="FFFFFF"/>
        </w:rPr>
        <w:t>:</w:t>
      </w:r>
      <w:r w:rsidRPr="00F91ED5">
        <w:rPr>
          <w:rFonts w:ascii="Traditional Arabic" w:hAnsi="Traditional Arabic" w:cs="Traditional Arabic"/>
          <w:color w:val="333333"/>
          <w:sz w:val="32"/>
          <w:szCs w:val="32"/>
        </w:rPr>
        <w:br/>
      </w:r>
      <w:r w:rsidRPr="00F91ED5">
        <w:rPr>
          <w:rFonts w:ascii="Traditional Arabic" w:hAnsi="Traditional Arabic" w:cs="Traditional Arabic"/>
          <w:b/>
          <w:bCs/>
          <w:color w:val="333333"/>
          <w:sz w:val="32"/>
          <w:szCs w:val="32"/>
        </w:rPr>
        <w:br/>
      </w:r>
      <w:r w:rsidRPr="00F91ED5">
        <w:rPr>
          <w:rFonts w:ascii="Traditional Arabic" w:hAnsi="Traditional Arabic" w:cs="Traditional Arabic"/>
          <w:b/>
          <w:bCs/>
          <w:color w:val="333333"/>
          <w:sz w:val="32"/>
          <w:szCs w:val="32"/>
          <w:shd w:val="clear" w:color="auto" w:fill="FFFFFF"/>
          <w:rtl/>
        </w:rPr>
        <w:t>ملهاة الأخلاق:</w:t>
      </w:r>
      <w:r w:rsidRPr="00F91ED5">
        <w:rPr>
          <w:rFonts w:ascii="Traditional Arabic" w:hAnsi="Traditional Arabic" w:cs="Traditional Arabic"/>
          <w:color w:val="333333"/>
          <w:sz w:val="32"/>
          <w:szCs w:val="32"/>
          <w:shd w:val="clear" w:color="auto" w:fill="FFFFFF"/>
          <w:rtl/>
        </w:rPr>
        <w:t xml:space="preserve"> هي الملهاة التي تتناول الحياة المُعاصرة ممّا هو مألوف، فيُشبه هذا النّوع القصّة على نحو قريب، ومن الأمثلة عليه مسرحيّات برنارد شو، وهو كاتب مسرحيّ إنجليزيّ تميّزت مسرحيّاته بالحِسّ الفُكاهيّ والسّاخر</w:t>
      </w:r>
      <w:r w:rsidRPr="00F91ED5">
        <w:rPr>
          <w:rFonts w:ascii="Traditional Arabic" w:hAnsi="Traditional Arabic" w:cs="Traditional Arabic"/>
          <w:color w:val="333333"/>
          <w:sz w:val="32"/>
          <w:szCs w:val="32"/>
          <w:shd w:val="clear" w:color="auto" w:fill="FFFFFF"/>
        </w:rPr>
        <w:t>.</w:t>
      </w:r>
      <w:r w:rsidRPr="00F91ED5">
        <w:rPr>
          <w:rFonts w:ascii="Traditional Arabic" w:hAnsi="Traditional Arabic" w:cs="Traditional Arabic"/>
          <w:color w:val="333333"/>
          <w:sz w:val="32"/>
          <w:szCs w:val="32"/>
        </w:rPr>
        <w:br/>
      </w:r>
      <w:r w:rsidRPr="00F91ED5">
        <w:rPr>
          <w:rFonts w:ascii="Traditional Arabic" w:hAnsi="Traditional Arabic" w:cs="Traditional Arabic"/>
          <w:b/>
          <w:bCs/>
          <w:color w:val="333333"/>
          <w:sz w:val="32"/>
          <w:szCs w:val="32"/>
        </w:rPr>
        <w:lastRenderedPageBreak/>
        <w:br/>
      </w:r>
      <w:r w:rsidRPr="00F91ED5">
        <w:rPr>
          <w:rFonts w:ascii="Traditional Arabic" w:hAnsi="Traditional Arabic" w:cs="Traditional Arabic"/>
          <w:b/>
          <w:bCs/>
          <w:color w:val="333333"/>
          <w:sz w:val="32"/>
          <w:szCs w:val="32"/>
          <w:shd w:val="clear" w:color="auto" w:fill="FFFFFF"/>
          <w:rtl/>
        </w:rPr>
        <w:t>لملهاة الرّومانتيكيّة:</w:t>
      </w:r>
      <w:r w:rsidRPr="00F91ED5">
        <w:rPr>
          <w:rFonts w:ascii="Traditional Arabic" w:hAnsi="Traditional Arabic" w:cs="Traditional Arabic"/>
          <w:color w:val="333333"/>
          <w:sz w:val="32"/>
          <w:szCs w:val="32"/>
          <w:shd w:val="clear" w:color="auto" w:fill="FFFFFF"/>
          <w:rtl/>
        </w:rPr>
        <w:t xml:space="preserve"> هي الملهاة التي تتناول الحديث عن التّجارب الحياتيّة غير المألوفة للنّاس فتتطرّق لها ولِمُعالجتها، والغالب على طريقة المُعالجة أن تكون مائلة إلى العاطفة لا إلى التّجربة، ويُشبه هذا النّوع الرّواية كما أنّه ليس دارجاً في العصر الحديث، وتُعدّ مسرحيّات شكسبير خير مثال عليها</w:t>
      </w:r>
      <w:r w:rsidRPr="00F91ED5">
        <w:rPr>
          <w:rFonts w:ascii="Traditional Arabic" w:hAnsi="Traditional Arabic" w:cs="Traditional Arabic"/>
          <w:color w:val="333333"/>
          <w:sz w:val="32"/>
          <w:szCs w:val="32"/>
          <w:shd w:val="clear" w:color="auto" w:fill="FFFFFF"/>
        </w:rPr>
        <w:t>.</w:t>
      </w:r>
      <w:r w:rsidRPr="00F91ED5">
        <w:rPr>
          <w:rFonts w:ascii="Traditional Arabic" w:hAnsi="Traditional Arabic" w:cs="Traditional Arabic"/>
          <w:color w:val="333333"/>
          <w:sz w:val="32"/>
          <w:szCs w:val="32"/>
        </w:rPr>
        <w:br/>
      </w:r>
    </w:p>
    <w:p w:rsidR="00CB70D9" w:rsidRDefault="00454523" w:rsidP="00454523">
      <w:pPr>
        <w:bidi/>
        <w:jc w:val="both"/>
        <w:rPr>
          <w:rFonts w:ascii="Traditional Arabic" w:hAnsi="Traditional Arabic" w:cs="Traditional Arabic" w:hint="cs"/>
          <w:color w:val="333333"/>
          <w:sz w:val="32"/>
          <w:szCs w:val="32"/>
          <w:shd w:val="clear" w:color="auto" w:fill="FFFFFF"/>
          <w:rtl/>
        </w:rPr>
      </w:pPr>
      <w:r w:rsidRPr="00F91ED5">
        <w:rPr>
          <w:rFonts w:ascii="Traditional Arabic" w:hAnsi="Traditional Arabic" w:cs="Traditional Arabic"/>
          <w:b/>
          <w:bCs/>
          <w:color w:val="333333"/>
          <w:sz w:val="32"/>
          <w:szCs w:val="32"/>
          <w:shd w:val="clear" w:color="auto" w:fill="FFFFFF"/>
          <w:rtl/>
        </w:rPr>
        <w:t>ملهاة الفارص:</w:t>
      </w:r>
      <w:r w:rsidRPr="00F91ED5">
        <w:rPr>
          <w:rFonts w:ascii="Traditional Arabic" w:hAnsi="Traditional Arabic" w:cs="Traditional Arabic"/>
          <w:color w:val="333333"/>
          <w:sz w:val="32"/>
          <w:szCs w:val="32"/>
          <w:shd w:val="clear" w:color="auto" w:fill="FFFFFF"/>
          <w:rtl/>
        </w:rPr>
        <w:t xml:space="preserve"> هي الملهاة التي تبتعد كلّ البعد عن وجود الحبكة فيها مع الإهمال الواضح والصّريح لتصوير الشّخصيّات ورسمها؛ فهذا النّوع يقوم على أساس التّسلية الحركيّة في المسرح، ويُرى في هذا النّوع أنّه نوع غير راقٍ كونه يُهمل رسم الشّخصيّة في حين أنّ الملهاة التي تُحسن ذلك تُسمّى ملهاة راقية</w:t>
      </w:r>
      <w:r w:rsidR="00CB70D9">
        <w:rPr>
          <w:rFonts w:ascii="Traditional Arabic" w:hAnsi="Traditional Arabic" w:cs="Traditional Arabic" w:hint="cs"/>
          <w:color w:val="333333"/>
          <w:sz w:val="32"/>
          <w:szCs w:val="32"/>
          <w:shd w:val="clear" w:color="auto" w:fill="FFFFFF"/>
          <w:rtl/>
        </w:rPr>
        <w:t>.</w:t>
      </w:r>
    </w:p>
    <w:p w:rsidR="00454523" w:rsidRDefault="00454523" w:rsidP="00CB70D9">
      <w:pPr>
        <w:bidi/>
        <w:jc w:val="both"/>
        <w:rPr>
          <w:rFonts w:ascii="Traditional Arabic" w:hAnsi="Traditional Arabic" w:cs="Traditional Arabic" w:hint="cs"/>
          <w:color w:val="333333"/>
          <w:sz w:val="32"/>
          <w:szCs w:val="32"/>
          <w:shd w:val="clear" w:color="auto" w:fill="FFFFFF"/>
          <w:rtl/>
        </w:rPr>
      </w:pPr>
      <w:r w:rsidRPr="00F91ED5">
        <w:rPr>
          <w:rFonts w:ascii="Traditional Arabic" w:hAnsi="Traditional Arabic" w:cs="Traditional Arabic"/>
          <w:color w:val="333333"/>
          <w:sz w:val="32"/>
          <w:szCs w:val="32"/>
        </w:rPr>
        <w:br/>
      </w:r>
      <w:r w:rsidRPr="00F91ED5">
        <w:rPr>
          <w:rFonts w:ascii="Traditional Arabic" w:hAnsi="Traditional Arabic" w:cs="Traditional Arabic"/>
          <w:b/>
          <w:bCs/>
          <w:color w:val="333333"/>
          <w:sz w:val="32"/>
          <w:szCs w:val="32"/>
          <w:shd w:val="clear" w:color="auto" w:fill="FFFFFF"/>
          <w:rtl/>
        </w:rPr>
        <w:t>الملهاة الباكية:</w:t>
      </w:r>
      <w:r w:rsidRPr="00F91ED5">
        <w:rPr>
          <w:rFonts w:ascii="Traditional Arabic" w:hAnsi="Traditional Arabic" w:cs="Traditional Arabic"/>
          <w:color w:val="333333"/>
          <w:sz w:val="32"/>
          <w:szCs w:val="32"/>
          <w:shd w:val="clear" w:color="auto" w:fill="FFFFFF"/>
          <w:rtl/>
        </w:rPr>
        <w:t xml:space="preserve"> هو نوع رابع ثانويّ من المسرحيّات الكوميديّة يعدّ خليطاً من نوعيّ المسرحيّة المأساة والملهاة معاً، وكان هذا النّوع قد ظهر وتميّز في أوائل القرن السّابع عشر، وفي ذروة ظهوره انقسم إلى اتّجاهيّن كان الأول منهما يقوم على أساس القِصّة الجادّة، فتسير فيه الأحداث إلى نهاية مأساويّة حتى إذا ظهر في نهاية المسرحيّة مشهد أو اثنان يحملان طابعاً كوميديّاً أو سعيداً، أمّا النّوع الثّاني فينتهج نهجاً آخر يُعنى باختلاط التّراجيديا والكوميديا معاً فيها، فتكون الأحداث الرّئيسيّة ذات طابع جِدّيّ مملوء بالمشاهد المأساويّة، ومع أنّ المسرحية فيه تنتهي بنهاية سعيدة مثل النّوع الأول إلّا أنّها تتميّز باحتواء مشاهدها الأكثر جِديّة على عناصر تُفضي إلى جوٍّ كوميديّ لا تتوافق مع الطّابع الحزين الرّئيسيّ للمسرحيّة، حيث تُعدّ هذه العناصر الكوميديّة أحد الأجزاء الرّئيسيّة في الملهاة الباكية، ومن الجدير بالذِّكر أنّ هذه المشاهد الكوميديّة لا تُشبه ما يتمّ إضافته إلى المسرحيّة التّراجيديّة، فهدفها إضفاء حالة تُخفّف وَقع المأساة الواقعة في المسرحيّة كي لا يملّ المُشاهد</w:t>
      </w:r>
      <w:r w:rsidRPr="00F91ED5">
        <w:rPr>
          <w:rFonts w:ascii="Traditional Arabic" w:hAnsi="Traditional Arabic" w:cs="Traditional Arabic"/>
          <w:color w:val="333333"/>
          <w:sz w:val="32"/>
          <w:szCs w:val="32"/>
          <w:shd w:val="clear" w:color="auto" w:fill="FFFFFF"/>
        </w:rPr>
        <w:t>.</w:t>
      </w:r>
    </w:p>
    <w:p w:rsidR="00C870C9" w:rsidRPr="00183752" w:rsidRDefault="00454523" w:rsidP="00454523">
      <w:pPr>
        <w:bidi/>
        <w:jc w:val="both"/>
      </w:pPr>
      <w:r w:rsidRPr="00F91ED5">
        <w:rPr>
          <w:rFonts w:ascii="Traditional Arabic" w:hAnsi="Traditional Arabic" w:cs="Traditional Arabic"/>
          <w:color w:val="333333"/>
          <w:sz w:val="32"/>
          <w:szCs w:val="32"/>
        </w:rPr>
        <w:br/>
      </w:r>
      <w:r w:rsidRPr="00F91ED5">
        <w:rPr>
          <w:rFonts w:ascii="Traditional Arabic" w:hAnsi="Traditional Arabic" w:cs="Traditional Arabic"/>
          <w:b/>
          <w:bCs/>
          <w:color w:val="333333"/>
          <w:sz w:val="32"/>
          <w:szCs w:val="32"/>
          <w:shd w:val="clear" w:color="auto" w:fill="FFFFFF"/>
          <w:rtl/>
        </w:rPr>
        <w:t>الميلودراما:</w:t>
      </w:r>
      <w:r w:rsidRPr="00F91ED5">
        <w:rPr>
          <w:rFonts w:ascii="Traditional Arabic" w:hAnsi="Traditional Arabic" w:cs="Traditional Arabic"/>
          <w:color w:val="333333"/>
          <w:sz w:val="32"/>
          <w:szCs w:val="32"/>
          <w:shd w:val="clear" w:color="auto" w:fill="FFFFFF"/>
          <w:rtl/>
        </w:rPr>
        <w:t xml:space="preserve"> هي المسرحيّة التي تعتمد على الموسيقى في عرضها المسرحيّ، بالإضافة إلى تناولها الحقائق الواقعيّة أكثر من تطرُّقها لرسم الشّخصيّة المسرحيّة، ويغلب عليها الطّابع العاطفيّ الحادّ وليس الكوميديّ، إلّا أنّ المُصطلح نفسه "الميلودراما" يُطلق على استخدامات مُتعدّدة في الفن المسرحيّ، ويُقصد فيه نوع الفارص الجادّة كأحد أنواع الكوميديّة الملهاة إلّا أنّها جادّة</w:t>
      </w:r>
      <w:r w:rsidRPr="00F91ED5">
        <w:rPr>
          <w:rFonts w:ascii="Traditional Arabic" w:hAnsi="Traditional Arabic" w:cs="Traditional Arabic"/>
          <w:color w:val="333333"/>
          <w:sz w:val="32"/>
          <w:szCs w:val="32"/>
          <w:shd w:val="clear" w:color="auto" w:fill="FFFFFF"/>
        </w:rPr>
        <w:t>.</w:t>
      </w:r>
    </w:p>
    <w:p w:rsidR="007D2982" w:rsidRPr="00C870C9" w:rsidRDefault="007D2982" w:rsidP="00183752">
      <w:pPr>
        <w:bidi/>
        <w:jc w:val="both"/>
      </w:pPr>
    </w:p>
    <w:sectPr w:rsidR="007D2982" w:rsidRPr="00C870C9" w:rsidSect="009B3A0A">
      <w:headerReference w:type="default" r:id="rId6"/>
      <w:footerReference w:type="default" r:id="rId7"/>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718C" w:rsidRDefault="003D718C" w:rsidP="009B3A0A">
      <w:pPr>
        <w:spacing w:after="0" w:line="240" w:lineRule="auto"/>
      </w:pPr>
      <w:r>
        <w:separator/>
      </w:r>
    </w:p>
  </w:endnote>
  <w:endnote w:type="continuationSeparator" w:id="1">
    <w:p w:rsidR="003D718C" w:rsidRDefault="003D718C" w:rsidP="009B3A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9125"/>
      <w:docPartObj>
        <w:docPartGallery w:val="Page Numbers (Bottom of Page)"/>
        <w:docPartUnique/>
      </w:docPartObj>
    </w:sdtPr>
    <w:sdtContent>
      <w:p w:rsidR="00183752" w:rsidRDefault="00C53F9A">
        <w:pPr>
          <w:pStyle w:val="Pieddepage"/>
          <w:jc w:val="center"/>
        </w:pPr>
        <w:fldSimple w:instr=" PAGE   \* MERGEFORMAT ">
          <w:r w:rsidR="00CB70D9">
            <w:rPr>
              <w:noProof/>
            </w:rPr>
            <w:t>4</w:t>
          </w:r>
        </w:fldSimple>
      </w:p>
    </w:sdtContent>
  </w:sdt>
  <w:p w:rsidR="00183752" w:rsidRDefault="0018375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718C" w:rsidRDefault="003D718C" w:rsidP="00C870C9">
      <w:pPr>
        <w:bidi/>
        <w:spacing w:after="0" w:line="240" w:lineRule="auto"/>
      </w:pPr>
      <w:r>
        <w:separator/>
      </w:r>
    </w:p>
  </w:footnote>
  <w:footnote w:type="continuationSeparator" w:id="1">
    <w:p w:rsidR="003D718C" w:rsidRDefault="003D718C" w:rsidP="009B3A0A">
      <w:pPr>
        <w:spacing w:after="0" w:line="240" w:lineRule="auto"/>
      </w:pPr>
      <w:r>
        <w:continuationSeparator/>
      </w:r>
    </w:p>
  </w:footnote>
  <w:footnote w:id="2">
    <w:p w:rsidR="00C870C9" w:rsidRDefault="00C870C9" w:rsidP="00C870C9">
      <w:pPr>
        <w:pStyle w:val="Notedebasdepage"/>
        <w:jc w:val="lowKashida"/>
        <w:rPr>
          <w:rtl/>
        </w:rPr>
      </w:pPr>
      <w:r>
        <w:rPr>
          <w:rStyle w:val="Appelnotedebasdep"/>
          <w:rtl/>
        </w:rPr>
        <w:footnoteRef/>
      </w:r>
      <w:r>
        <w:rPr>
          <w:rFonts w:hint="cs"/>
          <w:rtl/>
        </w:rPr>
        <w:t xml:space="preserve"> محمد حافظ رجب : " جيل بلا أساتذة " جريدة الجمهورية في 3 أكتوبر سنة 1963، وأنظر مجلة الأقلام العراقية " ملامح التحديث في القصة المصرية " عدد مارس سنة 1985.</w:t>
      </w:r>
    </w:p>
  </w:footnote>
  <w:footnote w:id="3">
    <w:p w:rsidR="00C870C9" w:rsidRDefault="00C870C9" w:rsidP="00C870C9">
      <w:pPr>
        <w:pStyle w:val="Notedebasdepage"/>
        <w:jc w:val="lowKashida"/>
        <w:rPr>
          <w:rtl/>
        </w:rPr>
      </w:pPr>
      <w:r>
        <w:rPr>
          <w:rStyle w:val="Appelnotedebasdep"/>
          <w:rtl/>
        </w:rPr>
        <w:footnoteRef/>
      </w:r>
      <w:r>
        <w:rPr>
          <w:rFonts w:hint="cs"/>
          <w:rtl/>
        </w:rPr>
        <w:t xml:space="preserve">  للمزيد انظر : " اعتراف معظم كتاب الستينيات بالإطلاع على أعمال بعض كتاب الواقعية " في مجلة فصول عدد مارس سنة 1982 ص 299.</w:t>
      </w:r>
    </w:p>
  </w:footnote>
  <w:footnote w:id="4">
    <w:p w:rsidR="00C870C9" w:rsidRDefault="00C870C9" w:rsidP="00C870C9">
      <w:pPr>
        <w:pStyle w:val="Notedebasdepage"/>
        <w:jc w:val="lowKashida"/>
        <w:rPr>
          <w:rtl/>
        </w:rPr>
      </w:pPr>
      <w:r>
        <w:rPr>
          <w:rStyle w:val="Appelnotedebasdep"/>
          <w:rtl/>
        </w:rPr>
        <w:footnoteRef/>
      </w:r>
      <w:r>
        <w:rPr>
          <w:rFonts w:hint="cs"/>
          <w:rtl/>
        </w:rPr>
        <w:t xml:space="preserve">  د. عبد الحميد إبراهيم : القصة القصيرة في الستينيات ص 7.</w:t>
      </w:r>
    </w:p>
  </w:footnote>
  <w:footnote w:id="5">
    <w:p w:rsidR="00C870C9" w:rsidRDefault="00C870C9" w:rsidP="00C870C9">
      <w:pPr>
        <w:pStyle w:val="Notedebasdepage"/>
        <w:jc w:val="lowKashida"/>
        <w:rPr>
          <w:rtl/>
        </w:rPr>
      </w:pPr>
      <w:r>
        <w:rPr>
          <w:rStyle w:val="Appelnotedebasdep"/>
          <w:rtl/>
        </w:rPr>
        <w:footnoteRef/>
      </w:r>
      <w:r>
        <w:rPr>
          <w:rFonts w:hint="cs"/>
          <w:rtl/>
        </w:rPr>
        <w:t xml:space="preserve">  للمزيد حول إرهاصات التجديد في القصة القصيرة المعاصرة انظر للباحث " الظواهر الفنية في القصة القصيرة المعاصرة " فصل محاولات التجديد فيما قبل سنة 1967 ص 14-15.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3A0A" w:rsidRDefault="009B3A0A" w:rsidP="009B3A0A">
    <w:pPr>
      <w:pStyle w:val="En-tte"/>
      <w:bidi/>
    </w:pPr>
    <w:r>
      <w:rPr>
        <w:rFonts w:hint="cs"/>
        <w:rtl/>
      </w:rPr>
      <w:t xml:space="preserve">ملخص </w:t>
    </w:r>
    <w:r w:rsidR="00996AF6">
      <w:rPr>
        <w:rFonts w:hint="cs"/>
        <w:rtl/>
      </w:rPr>
      <w:t xml:space="preserve">محاضرات مادة النص الأدبي المعاصر / السنة الثانية تخصص الدراسات اللغوية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9B3A0A"/>
    <w:rsid w:val="00006B06"/>
    <w:rsid w:val="000432BC"/>
    <w:rsid w:val="000464EB"/>
    <w:rsid w:val="00052212"/>
    <w:rsid w:val="00054874"/>
    <w:rsid w:val="00062C4B"/>
    <w:rsid w:val="00065BF9"/>
    <w:rsid w:val="000671FD"/>
    <w:rsid w:val="000730B2"/>
    <w:rsid w:val="000B19B7"/>
    <w:rsid w:val="000B3E7A"/>
    <w:rsid w:val="000C7A4C"/>
    <w:rsid w:val="000D5E20"/>
    <w:rsid w:val="000F149A"/>
    <w:rsid w:val="00111177"/>
    <w:rsid w:val="00123817"/>
    <w:rsid w:val="00123E87"/>
    <w:rsid w:val="001279BF"/>
    <w:rsid w:val="001361CA"/>
    <w:rsid w:val="00144B52"/>
    <w:rsid w:val="001517A4"/>
    <w:rsid w:val="00161DDB"/>
    <w:rsid w:val="00163B0F"/>
    <w:rsid w:val="00167A4D"/>
    <w:rsid w:val="00174AB1"/>
    <w:rsid w:val="001760F8"/>
    <w:rsid w:val="00176E69"/>
    <w:rsid w:val="00183752"/>
    <w:rsid w:val="00186F6F"/>
    <w:rsid w:val="001A02A2"/>
    <w:rsid w:val="001A3096"/>
    <w:rsid w:val="001B43ED"/>
    <w:rsid w:val="001C1C50"/>
    <w:rsid w:val="001D1952"/>
    <w:rsid w:val="001D1C01"/>
    <w:rsid w:val="001E19F4"/>
    <w:rsid w:val="001E6458"/>
    <w:rsid w:val="001F5268"/>
    <w:rsid w:val="0021033D"/>
    <w:rsid w:val="00223A26"/>
    <w:rsid w:val="002324DE"/>
    <w:rsid w:val="00262486"/>
    <w:rsid w:val="00266E9F"/>
    <w:rsid w:val="00282B56"/>
    <w:rsid w:val="00291037"/>
    <w:rsid w:val="002936C1"/>
    <w:rsid w:val="002A16FA"/>
    <w:rsid w:val="002A5C5F"/>
    <w:rsid w:val="002A7129"/>
    <w:rsid w:val="002C1CC0"/>
    <w:rsid w:val="002C3BD5"/>
    <w:rsid w:val="002D55BA"/>
    <w:rsid w:val="002E0A5E"/>
    <w:rsid w:val="002E7339"/>
    <w:rsid w:val="002F5789"/>
    <w:rsid w:val="00300A75"/>
    <w:rsid w:val="0032121E"/>
    <w:rsid w:val="00323E10"/>
    <w:rsid w:val="00324C5E"/>
    <w:rsid w:val="00326C7A"/>
    <w:rsid w:val="0033464A"/>
    <w:rsid w:val="003466E7"/>
    <w:rsid w:val="00350312"/>
    <w:rsid w:val="0037250B"/>
    <w:rsid w:val="003804DC"/>
    <w:rsid w:val="003A5B31"/>
    <w:rsid w:val="003B55AC"/>
    <w:rsid w:val="003D718C"/>
    <w:rsid w:val="003E0CC8"/>
    <w:rsid w:val="003E32ED"/>
    <w:rsid w:val="003F08DC"/>
    <w:rsid w:val="004325DC"/>
    <w:rsid w:val="00444725"/>
    <w:rsid w:val="004516F4"/>
    <w:rsid w:val="00454523"/>
    <w:rsid w:val="0046556A"/>
    <w:rsid w:val="00471F0A"/>
    <w:rsid w:val="00475F76"/>
    <w:rsid w:val="00487F7D"/>
    <w:rsid w:val="00491BA1"/>
    <w:rsid w:val="00492AFA"/>
    <w:rsid w:val="00492EB0"/>
    <w:rsid w:val="00494575"/>
    <w:rsid w:val="004B58DB"/>
    <w:rsid w:val="004D13BE"/>
    <w:rsid w:val="004D3D46"/>
    <w:rsid w:val="004F4FA1"/>
    <w:rsid w:val="005032BF"/>
    <w:rsid w:val="0051758B"/>
    <w:rsid w:val="00530AAC"/>
    <w:rsid w:val="00547556"/>
    <w:rsid w:val="005558F9"/>
    <w:rsid w:val="005631B3"/>
    <w:rsid w:val="00584E0F"/>
    <w:rsid w:val="00585BAB"/>
    <w:rsid w:val="00590830"/>
    <w:rsid w:val="0059259A"/>
    <w:rsid w:val="0059409B"/>
    <w:rsid w:val="005B23B1"/>
    <w:rsid w:val="005B252F"/>
    <w:rsid w:val="005D4115"/>
    <w:rsid w:val="005E6718"/>
    <w:rsid w:val="005F74CD"/>
    <w:rsid w:val="00607A9D"/>
    <w:rsid w:val="00613677"/>
    <w:rsid w:val="00613E76"/>
    <w:rsid w:val="0063091A"/>
    <w:rsid w:val="006408DD"/>
    <w:rsid w:val="00657AD7"/>
    <w:rsid w:val="0067461B"/>
    <w:rsid w:val="006768F7"/>
    <w:rsid w:val="00681C3C"/>
    <w:rsid w:val="00685EF5"/>
    <w:rsid w:val="006878B5"/>
    <w:rsid w:val="006A0997"/>
    <w:rsid w:val="006D0A17"/>
    <w:rsid w:val="006E33A4"/>
    <w:rsid w:val="006E3F28"/>
    <w:rsid w:val="006E5054"/>
    <w:rsid w:val="00734F07"/>
    <w:rsid w:val="007467BF"/>
    <w:rsid w:val="007534C7"/>
    <w:rsid w:val="00775A84"/>
    <w:rsid w:val="0077661D"/>
    <w:rsid w:val="00794783"/>
    <w:rsid w:val="007A0DA5"/>
    <w:rsid w:val="007A4C7D"/>
    <w:rsid w:val="007B066F"/>
    <w:rsid w:val="007B1C32"/>
    <w:rsid w:val="007B3B91"/>
    <w:rsid w:val="007D2982"/>
    <w:rsid w:val="007E1942"/>
    <w:rsid w:val="007F100B"/>
    <w:rsid w:val="007F5654"/>
    <w:rsid w:val="00813EF6"/>
    <w:rsid w:val="00814CFA"/>
    <w:rsid w:val="008237BF"/>
    <w:rsid w:val="00835403"/>
    <w:rsid w:val="008415D3"/>
    <w:rsid w:val="00856805"/>
    <w:rsid w:val="00864E0D"/>
    <w:rsid w:val="0087169E"/>
    <w:rsid w:val="00871E80"/>
    <w:rsid w:val="0087236B"/>
    <w:rsid w:val="008838D2"/>
    <w:rsid w:val="00896697"/>
    <w:rsid w:val="008C0AE6"/>
    <w:rsid w:val="008C13B0"/>
    <w:rsid w:val="008C233D"/>
    <w:rsid w:val="008D02B5"/>
    <w:rsid w:val="008E1B26"/>
    <w:rsid w:val="008E5262"/>
    <w:rsid w:val="008F062A"/>
    <w:rsid w:val="00921BED"/>
    <w:rsid w:val="009324AB"/>
    <w:rsid w:val="009466EC"/>
    <w:rsid w:val="00965890"/>
    <w:rsid w:val="00974D6C"/>
    <w:rsid w:val="00984CC4"/>
    <w:rsid w:val="00994AB4"/>
    <w:rsid w:val="00996AF6"/>
    <w:rsid w:val="009A49E6"/>
    <w:rsid w:val="009A4B46"/>
    <w:rsid w:val="009B0907"/>
    <w:rsid w:val="009B3A0A"/>
    <w:rsid w:val="009C210C"/>
    <w:rsid w:val="009D5ABC"/>
    <w:rsid w:val="009F178B"/>
    <w:rsid w:val="009F47A9"/>
    <w:rsid w:val="009F4F01"/>
    <w:rsid w:val="00A23125"/>
    <w:rsid w:val="00A25563"/>
    <w:rsid w:val="00A27B0A"/>
    <w:rsid w:val="00A41170"/>
    <w:rsid w:val="00A4245A"/>
    <w:rsid w:val="00A63B51"/>
    <w:rsid w:val="00A66E9B"/>
    <w:rsid w:val="00A67EDC"/>
    <w:rsid w:val="00A81383"/>
    <w:rsid w:val="00A8189B"/>
    <w:rsid w:val="00A875A1"/>
    <w:rsid w:val="00A94126"/>
    <w:rsid w:val="00AA46D9"/>
    <w:rsid w:val="00AB5BEA"/>
    <w:rsid w:val="00AC1092"/>
    <w:rsid w:val="00AC2887"/>
    <w:rsid w:val="00AC497F"/>
    <w:rsid w:val="00AE0021"/>
    <w:rsid w:val="00AF290E"/>
    <w:rsid w:val="00AF3669"/>
    <w:rsid w:val="00B0700D"/>
    <w:rsid w:val="00B2777F"/>
    <w:rsid w:val="00B50A09"/>
    <w:rsid w:val="00B52F1C"/>
    <w:rsid w:val="00B5510C"/>
    <w:rsid w:val="00B6182F"/>
    <w:rsid w:val="00B634BF"/>
    <w:rsid w:val="00B86439"/>
    <w:rsid w:val="00C00D64"/>
    <w:rsid w:val="00C04A11"/>
    <w:rsid w:val="00C04F5A"/>
    <w:rsid w:val="00C13454"/>
    <w:rsid w:val="00C20319"/>
    <w:rsid w:val="00C53F9A"/>
    <w:rsid w:val="00C64C38"/>
    <w:rsid w:val="00C80C65"/>
    <w:rsid w:val="00C85C26"/>
    <w:rsid w:val="00C870C9"/>
    <w:rsid w:val="00C922D2"/>
    <w:rsid w:val="00C97610"/>
    <w:rsid w:val="00C9764D"/>
    <w:rsid w:val="00CA07FF"/>
    <w:rsid w:val="00CA67E9"/>
    <w:rsid w:val="00CB0373"/>
    <w:rsid w:val="00CB70D9"/>
    <w:rsid w:val="00CD6E98"/>
    <w:rsid w:val="00CE2A9A"/>
    <w:rsid w:val="00CF7556"/>
    <w:rsid w:val="00D01D3E"/>
    <w:rsid w:val="00D26244"/>
    <w:rsid w:val="00D439BB"/>
    <w:rsid w:val="00D52D21"/>
    <w:rsid w:val="00D530E8"/>
    <w:rsid w:val="00D6552C"/>
    <w:rsid w:val="00D67C20"/>
    <w:rsid w:val="00D87628"/>
    <w:rsid w:val="00D9080D"/>
    <w:rsid w:val="00D92592"/>
    <w:rsid w:val="00D9480E"/>
    <w:rsid w:val="00D95DAF"/>
    <w:rsid w:val="00DB0DF5"/>
    <w:rsid w:val="00DB2E23"/>
    <w:rsid w:val="00DB3EB8"/>
    <w:rsid w:val="00DB6275"/>
    <w:rsid w:val="00DC537F"/>
    <w:rsid w:val="00DE56A9"/>
    <w:rsid w:val="00E14742"/>
    <w:rsid w:val="00E53009"/>
    <w:rsid w:val="00E549D1"/>
    <w:rsid w:val="00E677FD"/>
    <w:rsid w:val="00E67D04"/>
    <w:rsid w:val="00EA0244"/>
    <w:rsid w:val="00EA4995"/>
    <w:rsid w:val="00EA4F1F"/>
    <w:rsid w:val="00EA6E7E"/>
    <w:rsid w:val="00EE4145"/>
    <w:rsid w:val="00F3664E"/>
    <w:rsid w:val="00F54391"/>
    <w:rsid w:val="00F665A4"/>
    <w:rsid w:val="00F66CF2"/>
    <w:rsid w:val="00F6763D"/>
    <w:rsid w:val="00F736DB"/>
    <w:rsid w:val="00F94472"/>
    <w:rsid w:val="00FC0CE8"/>
    <w:rsid w:val="00FC6AEC"/>
    <w:rsid w:val="00FC7CB2"/>
    <w:rsid w:val="00FE4522"/>
    <w:rsid w:val="00FF0B0F"/>
    <w:rsid w:val="00FF45B5"/>
    <w:rsid w:val="00FF57A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0C9"/>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9B3A0A"/>
    <w:pPr>
      <w:tabs>
        <w:tab w:val="center" w:pos="4153"/>
        <w:tab w:val="right" w:pos="8306"/>
      </w:tabs>
      <w:spacing w:after="0" w:line="240" w:lineRule="auto"/>
    </w:pPr>
    <w:rPr>
      <w:rFonts w:eastAsiaTheme="minorHAnsi"/>
      <w:lang w:eastAsia="en-US"/>
    </w:rPr>
  </w:style>
  <w:style w:type="character" w:customStyle="1" w:styleId="En-tteCar">
    <w:name w:val="En-tête Car"/>
    <w:basedOn w:val="Policepardfaut"/>
    <w:link w:val="En-tte"/>
    <w:uiPriority w:val="99"/>
    <w:semiHidden/>
    <w:rsid w:val="009B3A0A"/>
  </w:style>
  <w:style w:type="paragraph" w:styleId="Pieddepage">
    <w:name w:val="footer"/>
    <w:basedOn w:val="Normal"/>
    <w:link w:val="PieddepageCar"/>
    <w:uiPriority w:val="99"/>
    <w:unhideWhenUsed/>
    <w:rsid w:val="009B3A0A"/>
    <w:pPr>
      <w:tabs>
        <w:tab w:val="center" w:pos="4153"/>
        <w:tab w:val="right" w:pos="8306"/>
      </w:tabs>
      <w:spacing w:after="0" w:line="240" w:lineRule="auto"/>
    </w:pPr>
    <w:rPr>
      <w:rFonts w:eastAsiaTheme="minorHAnsi"/>
      <w:lang w:eastAsia="en-US"/>
    </w:rPr>
  </w:style>
  <w:style w:type="character" w:customStyle="1" w:styleId="PieddepageCar">
    <w:name w:val="Pied de page Car"/>
    <w:basedOn w:val="Policepardfaut"/>
    <w:link w:val="Pieddepage"/>
    <w:uiPriority w:val="99"/>
    <w:rsid w:val="009B3A0A"/>
  </w:style>
  <w:style w:type="paragraph" w:styleId="NormalWeb">
    <w:name w:val="Normal (Web)"/>
    <w:basedOn w:val="Normal"/>
    <w:uiPriority w:val="99"/>
    <w:semiHidden/>
    <w:unhideWhenUsed/>
    <w:rsid w:val="00994AB4"/>
    <w:pPr>
      <w:spacing w:before="100" w:beforeAutospacing="1" w:after="100" w:afterAutospacing="1" w:line="240" w:lineRule="auto"/>
    </w:pPr>
    <w:rPr>
      <w:rFonts w:ascii="Times New Roman" w:eastAsia="Times New Roman" w:hAnsi="Times New Roman" w:cs="Times New Roman"/>
      <w:sz w:val="24"/>
      <w:szCs w:val="24"/>
    </w:rPr>
  </w:style>
  <w:style w:type="paragraph" w:styleId="Notedebasdepage">
    <w:name w:val="footnote text"/>
    <w:basedOn w:val="Normal"/>
    <w:link w:val="NotedebasdepageCar"/>
    <w:semiHidden/>
    <w:rsid w:val="00C870C9"/>
    <w:pPr>
      <w:bidi/>
      <w:spacing w:after="0" w:line="240" w:lineRule="auto"/>
      <w:jc w:val="both"/>
    </w:pPr>
    <w:rPr>
      <w:rFonts w:ascii="Times New Roman" w:eastAsia="Times New Roman" w:hAnsi="Times New Roman" w:cs="Simplified Arabic"/>
      <w:sz w:val="20"/>
      <w:szCs w:val="24"/>
      <w:lang w:val="en-US" w:eastAsia="en-US"/>
    </w:rPr>
  </w:style>
  <w:style w:type="character" w:customStyle="1" w:styleId="NotedebasdepageCar">
    <w:name w:val="Note de bas de page Car"/>
    <w:basedOn w:val="Policepardfaut"/>
    <w:link w:val="Notedebasdepage"/>
    <w:semiHidden/>
    <w:rsid w:val="00C870C9"/>
    <w:rPr>
      <w:rFonts w:ascii="Times New Roman" w:eastAsia="Times New Roman" w:hAnsi="Times New Roman" w:cs="Simplified Arabic"/>
      <w:sz w:val="20"/>
      <w:szCs w:val="24"/>
      <w:lang w:val="en-US"/>
    </w:rPr>
  </w:style>
  <w:style w:type="character" w:styleId="Appelnotedebasdep">
    <w:name w:val="footnote reference"/>
    <w:basedOn w:val="Policepardfaut"/>
    <w:semiHidden/>
    <w:rsid w:val="00C870C9"/>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6</Pages>
  <Words>1932</Words>
  <Characters>10632</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 pc</dc:creator>
  <cp:lastModifiedBy>mon pc</cp:lastModifiedBy>
  <cp:revision>4</cp:revision>
  <dcterms:created xsi:type="dcterms:W3CDTF">2021-04-28T10:05:00Z</dcterms:created>
  <dcterms:modified xsi:type="dcterms:W3CDTF">2022-03-29T13:56:00Z</dcterms:modified>
</cp:coreProperties>
</file>