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89" w:rsidRPr="006C66A1" w:rsidRDefault="00466989" w:rsidP="00466989">
      <w:pPr>
        <w:shd w:val="clear" w:color="auto" w:fill="FFFFFF"/>
        <w:bidi/>
        <w:spacing w:after="0"/>
        <w:jc w:val="both"/>
        <w:rPr>
          <w:rFonts w:ascii="Arial" w:eastAsia="Times New Roman" w:hAnsi="Arial" w:cs="Simplified Arabic"/>
          <w:b/>
          <w:bCs/>
          <w:color w:val="000000" w:themeColor="text1"/>
          <w:sz w:val="36"/>
          <w:szCs w:val="36"/>
          <w:rtl/>
          <w:lang w:eastAsia="fr-FR"/>
        </w:rPr>
      </w:pPr>
      <w:r w:rsidRPr="006C66A1">
        <w:rPr>
          <w:rFonts w:ascii="Arial" w:eastAsia="Times New Roman" w:hAnsi="Arial" w:cs="Times New Roman" w:hint="cs"/>
          <w:b/>
          <w:bCs/>
          <w:color w:val="000000" w:themeColor="text1"/>
          <w:sz w:val="36"/>
          <w:szCs w:val="36"/>
          <w:rtl/>
          <w:lang w:eastAsia="fr-FR" w:bidi="ar-DZ"/>
        </w:rPr>
        <w:t>المحاضرة السابعة</w:t>
      </w:r>
      <w:r w:rsidRPr="006C66A1">
        <w:rPr>
          <w:rFonts w:ascii="Arial" w:eastAsia="Times New Roman" w:hAnsi="Arial" w:cs="Simplified Arabic" w:hint="cs"/>
          <w:b/>
          <w:bCs/>
          <w:color w:val="000000" w:themeColor="text1"/>
          <w:sz w:val="36"/>
          <w:szCs w:val="36"/>
          <w:rtl/>
          <w:lang w:eastAsia="fr-FR" w:bidi="ar-DZ"/>
        </w:rPr>
        <w:t xml:space="preserve">: </w:t>
      </w:r>
      <w:r w:rsidRPr="006C66A1">
        <w:rPr>
          <w:rFonts w:ascii="Arial" w:eastAsia="Times New Roman" w:hAnsi="Arial" w:cs="Times New Roman" w:hint="cs"/>
          <w:b/>
          <w:bCs/>
          <w:color w:val="000000" w:themeColor="text1"/>
          <w:sz w:val="36"/>
          <w:szCs w:val="36"/>
          <w:rtl/>
          <w:lang w:eastAsia="fr-FR" w:bidi="ar-DZ"/>
        </w:rPr>
        <w:t>عمود الشعر</w:t>
      </w:r>
    </w:p>
    <w:p w:rsidR="00466989" w:rsidRPr="006E41DC" w:rsidRDefault="00466989" w:rsidP="00466989">
      <w:pPr>
        <w:shd w:val="clear" w:color="auto" w:fill="FFFFFF"/>
        <w:bidi/>
        <w:spacing w:after="0"/>
        <w:jc w:val="both"/>
        <w:rPr>
          <w:rFonts w:ascii="Arial" w:eastAsia="Times New Roman" w:hAnsi="Arial" w:cs="Simplified Arabic"/>
          <w:b/>
          <w:bCs/>
          <w:color w:val="000000" w:themeColor="text1"/>
          <w:sz w:val="32"/>
          <w:szCs w:val="32"/>
          <w:rtl/>
          <w:lang w:eastAsia="fr-FR"/>
        </w:rPr>
      </w:pPr>
      <w:r w:rsidRPr="006E41DC">
        <w:rPr>
          <w:rFonts w:ascii="Arial" w:eastAsia="Times New Roman" w:hAnsi="Arial" w:cs="Times New Roman" w:hint="cs"/>
          <w:b/>
          <w:bCs/>
          <w:color w:val="000000" w:themeColor="text1"/>
          <w:sz w:val="32"/>
          <w:szCs w:val="32"/>
          <w:rtl/>
          <w:lang w:eastAsia="fr-FR" w:bidi="ar-DZ"/>
        </w:rPr>
        <w:t>المفهوم والمنطلقات:</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 xml:space="preserve">عمود الشعر هو النتيجة المباشرة الناجمة عن ظهور موجة الشعر المحدث، وبدء الخلاف حول ديباجته المغايرة لبلاغة الشعر القديم، لذلك فهو قرين قضية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القدماء والمحدثين</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xml:space="preserve">، وجاء نتيجة لمتابعة عميقة ومفصلة ودراسة شاملة لشعر القدماء، واستكناه لطريقتهم الشعرية في نظم القصيدة على جميع المستويات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اللفظية، والمعنوية، والتصويرية، والموسيقية</w:t>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لذلك يمكن تلخيص مفهوم عمود الشعر في كونه التقاليد الفنية والشعرية الموروثة عن الشعراء الفحول والقدماء عموما</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وقد وجد صيغة تصوره النهائية على يد أبي علي المرزوقي</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ت</w:t>
      </w:r>
      <w:r w:rsidRPr="006C66A1">
        <w:rPr>
          <w:rFonts w:ascii="Arial" w:eastAsia="Times New Roman" w:hAnsi="Arial" w:cs="Simplified Arabic" w:hint="cs"/>
          <w:color w:val="000000" w:themeColor="text1"/>
          <w:sz w:val="32"/>
          <w:szCs w:val="32"/>
          <w:rtl/>
          <w:lang w:eastAsia="fr-FR" w:bidi="ar-DZ"/>
        </w:rPr>
        <w:t>.421 </w:t>
      </w:r>
      <w:r w:rsidRPr="006C66A1">
        <w:rPr>
          <w:rFonts w:ascii="Arial" w:eastAsia="Times New Roman" w:hAnsi="Arial" w:cs="Times New Roman" w:hint="cs"/>
          <w:color w:val="000000" w:themeColor="text1"/>
          <w:sz w:val="32"/>
          <w:szCs w:val="32"/>
          <w:rtl/>
          <w:lang w:eastAsia="fr-FR" w:bidi="ar-DZ"/>
        </w:rPr>
        <w:t>هـ</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بعد أن مهد له سبيله نقاد سابقون، على رأسهم أبو القاسم الآمديّ</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 xml:space="preserve">ت </w:t>
      </w:r>
      <w:r w:rsidRPr="006C66A1">
        <w:rPr>
          <w:rFonts w:ascii="Arial" w:eastAsia="Times New Roman" w:hAnsi="Arial" w:cs="Simplified Arabic" w:hint="cs"/>
          <w:color w:val="000000" w:themeColor="text1"/>
          <w:sz w:val="32"/>
          <w:szCs w:val="32"/>
          <w:rtl/>
          <w:lang w:eastAsia="fr-FR" w:bidi="ar-DZ"/>
        </w:rPr>
        <w:t xml:space="preserve">370) </w:t>
      </w:r>
      <w:r w:rsidRPr="006C66A1">
        <w:rPr>
          <w:rFonts w:ascii="Arial" w:eastAsia="Times New Roman" w:hAnsi="Arial" w:cs="Times New Roman" w:hint="cs"/>
          <w:color w:val="000000" w:themeColor="text1"/>
          <w:sz w:val="32"/>
          <w:szCs w:val="32"/>
          <w:rtl/>
          <w:lang w:eastAsia="fr-FR" w:bidi="ar-DZ"/>
        </w:rPr>
        <w:t>الذي هو أوّل من أتى بهذا المصطلح، ثم القاضي الجرجاني</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Simplified Arabic" w:hint="cs"/>
          <w:color w:val="000000" w:themeColor="text1"/>
          <w:sz w:val="32"/>
          <w:szCs w:val="32"/>
          <w:rtl/>
          <w:lang w:eastAsia="fr-FR"/>
        </w:rPr>
        <w:t>(</w:t>
      </w:r>
      <w:r w:rsidRPr="006C66A1">
        <w:rPr>
          <w:rFonts w:ascii="Arial" w:eastAsia="Times New Roman" w:hAnsi="Arial" w:cs="Times New Roman" w:hint="cs"/>
          <w:color w:val="000000" w:themeColor="text1"/>
          <w:sz w:val="32"/>
          <w:szCs w:val="32"/>
          <w:rtl/>
          <w:lang w:eastAsia="fr-FR"/>
        </w:rPr>
        <w:t>ت</w:t>
      </w:r>
      <w:hyperlink r:id="rId6" w:tooltip="392 هـ" w:history="1">
        <w:r w:rsidRPr="006C66A1">
          <w:rPr>
            <w:rFonts w:ascii="Arial" w:eastAsia="Times New Roman" w:hAnsi="Arial" w:cs="Simplified Arabic" w:hint="cs"/>
            <w:color w:val="000000" w:themeColor="text1"/>
            <w:sz w:val="32"/>
            <w:szCs w:val="32"/>
            <w:u w:val="single"/>
            <w:rtl/>
            <w:lang w:eastAsia="fr-FR"/>
          </w:rPr>
          <w:t xml:space="preserve">392 </w:t>
        </w:r>
        <w:r w:rsidRPr="006C66A1">
          <w:rPr>
            <w:rFonts w:ascii="Arial" w:eastAsia="Times New Roman" w:hAnsi="Arial" w:cs="Times New Roman" w:hint="cs"/>
            <w:color w:val="000000" w:themeColor="text1"/>
            <w:sz w:val="32"/>
            <w:szCs w:val="32"/>
            <w:u w:val="single"/>
            <w:rtl/>
            <w:lang w:eastAsia="fr-FR"/>
          </w:rPr>
          <w:t>هـ</w:t>
        </w:r>
      </w:hyperlink>
      <w:r w:rsidRPr="006C66A1">
        <w:rPr>
          <w:rFonts w:ascii="Arial" w:eastAsia="Times New Roman" w:hAnsi="Arial" w:cs="Simplified Arabic" w:hint="cs"/>
          <w:color w:val="000000" w:themeColor="text1"/>
          <w:sz w:val="32"/>
          <w:szCs w:val="32"/>
          <w:rtl/>
          <w:lang w:eastAsia="fr-FR"/>
        </w:rPr>
        <w:t>) </w:t>
      </w:r>
      <w:r w:rsidRPr="006C66A1">
        <w:rPr>
          <w:rFonts w:ascii="Arial" w:eastAsia="Times New Roman" w:hAnsi="Arial" w:cs="Times New Roman" w:hint="cs"/>
          <w:color w:val="000000" w:themeColor="text1"/>
          <w:sz w:val="32"/>
          <w:szCs w:val="32"/>
          <w:rtl/>
          <w:lang w:eastAsia="fr-FR" w:bidi="ar-DZ"/>
        </w:rPr>
        <w:t>الذي تمثّلَ طرحَ الآمدي، وتقدم بمفهوم عمود الشعر خطووة أخرى</w:t>
      </w:r>
      <w:r w:rsidRPr="006C66A1">
        <w:rPr>
          <w:rStyle w:val="Appelnotedebasdep"/>
          <w:rFonts w:ascii="Arial" w:eastAsia="Times New Roman" w:hAnsi="Arial" w:cs="Simplified Arabic"/>
          <w:color w:val="000000" w:themeColor="text1"/>
          <w:sz w:val="32"/>
          <w:szCs w:val="32"/>
          <w:rtl/>
          <w:lang w:eastAsia="fr-FR" w:bidi="ar-DZ"/>
        </w:rPr>
        <w:footnoteReference w:id="2"/>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 xml:space="preserve">وضّح المرزوقي مفهوم عمود الشعر، وفصّل فيه في مقدمة شرحه لحماسة أبي تمام بقوله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فالواجب أن يُتبيّن ما هو عمود الشعر المعروفُ عند العرب، ليتميز تليد الصنعة من الطريف، وقديم نظام القريض من الحديث، ولتعرف مواطئ أقدام المختارين فيما اختاروه، ومراسم إقدام المزيِّفين على ما زيفوه، ويُعلم أيضا فرق ما بين المصنوع والمطبوع، وفضيلة الأَتِيِّ السمح على الأبيّ الصعب</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3"/>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فهو قبل بيان مفهومه يذكر علة وضع هذا المفهوم، وتلك العلة هي وضع حد فاصل بين قديم الصنعة الشعرية ومحدَثها، فيكون عمود الشعر المحتكَم الفني في ذلك</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وبعد هذا طفق يفصل عناصره أو أبوابه بقوله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xml:space="preserve">إنهم كانو يحاولون شرف المعنى وصحته، وجزالة اللفظ واستقامته، والإصابة في الوصف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ومن اجتماع هذه الأسباب الثلاثة كثرت سوائر الأمثال، وشوارد الأبيات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والمقاربةَ في التشيبه، والتحام أجزاء النظم والتئامها</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 xml:space="preserve">على تخير من لذيذ </w:t>
      </w:r>
      <w:r w:rsidRPr="006C66A1">
        <w:rPr>
          <w:rFonts w:ascii="Arial" w:eastAsia="Times New Roman" w:hAnsi="Arial" w:cs="Times New Roman" w:hint="cs"/>
          <w:color w:val="000000" w:themeColor="text1"/>
          <w:sz w:val="32"/>
          <w:szCs w:val="32"/>
          <w:rtl/>
          <w:lang w:eastAsia="fr-FR" w:bidi="ar-DZ"/>
        </w:rPr>
        <w:lastRenderedPageBreak/>
        <w:t>الوزن، ومناسبة المستعار منه والمستعار له، ومشاكله اللفظ للمعنى، وشدة اقتضائهما للقافية حتى لا منافرة بينهما، فهذه سبعة أبواب هي عمود الشعر، ولكل باب منها معيار</w:t>
      </w:r>
      <w:r w:rsidRPr="006C66A1">
        <w:rPr>
          <w:rStyle w:val="Appelnotedebasdep"/>
          <w:rFonts w:ascii="Arial" w:eastAsia="Times New Roman" w:hAnsi="Arial" w:cs="Simplified Arabic"/>
          <w:color w:val="000000" w:themeColor="text1"/>
          <w:sz w:val="32"/>
          <w:szCs w:val="32"/>
          <w:rtl/>
          <w:lang w:eastAsia="fr-FR"/>
        </w:rPr>
        <w:footnoteReference w:id="4"/>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ويلاحظ أن هذه العناصر أو الأبواب السبعة شاملة لأهم مداخل العملية الإبداعية في الصناعة الشعرية، ويمكن تجميعها في خمسة جوانب</w:t>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color w:val="000000" w:themeColor="text1"/>
          <w:sz w:val="32"/>
          <w:szCs w:val="32"/>
          <w:rtl/>
          <w:lang w:val="en-US" w:eastAsia="fr-FR"/>
        </w:rPr>
        <w:t>-       </w:t>
      </w:r>
      <w:r w:rsidRPr="006C66A1">
        <w:rPr>
          <w:rFonts w:ascii="Arial" w:eastAsia="Times New Roman" w:hAnsi="Arial" w:cs="Times New Roman" w:hint="cs"/>
          <w:color w:val="000000" w:themeColor="text1"/>
          <w:sz w:val="32"/>
          <w:szCs w:val="32"/>
          <w:rtl/>
          <w:lang w:eastAsia="fr-FR" w:bidi="ar-DZ"/>
        </w:rPr>
        <w:t>جانب المعاني</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وشرطه شرف المعنى وصحته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وليس المقصود بشرف المعنى رقيّه في السلم الخلقي كما قد يدل عليه ظاهر المعنى، ولا اختصاصَ معناه بطبقة الخاصة كما يجنح إلى ذلك الكلاسيون، وإنما هو مدى ما يتحقق في المعنى من إصابة الدلالة المقصودة، وملائمة المقام، وهو ما بيّنه بشر بن المعتمر في صحيفته المشهورة التي يقول فيها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والمعنى ليس يشرف بأن يكون من معاني الخاصة، وكذلك ليس يتضع بأن يكون من معاني العامة</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وإنما مدار الشرف على الصواب وإحراز المنفعة، مع موافقة الحال، وما يجب لكل مَقام من المقال</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وكذلك اللفظ العاميّ والخاصيّ</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5"/>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color w:val="000000" w:themeColor="text1"/>
          <w:sz w:val="32"/>
          <w:szCs w:val="32"/>
          <w:rtl/>
          <w:lang w:val="en-US" w:eastAsia="fr-FR"/>
        </w:rPr>
        <w:t>-       </w:t>
      </w:r>
      <w:r w:rsidRPr="006C66A1">
        <w:rPr>
          <w:rFonts w:ascii="Arial" w:eastAsia="Times New Roman" w:hAnsi="Arial" w:cs="Times New Roman" w:hint="cs"/>
          <w:color w:val="000000" w:themeColor="text1"/>
          <w:sz w:val="32"/>
          <w:szCs w:val="32"/>
          <w:rtl/>
          <w:lang w:eastAsia="fr-FR" w:bidi="ar-DZ"/>
        </w:rPr>
        <w:t>جانب اللفظ</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وشرطه الجزالة والاستقامة</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والجَزْل، لغةً صفة لـ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xml:space="preserve">الحطب اليابس، وقيل الغليظ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ورجل جزْل الرأي وامرأة جزْلة بينة الجزالة</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جيدة الرأي </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6"/>
      </w:r>
      <w:r w:rsidRPr="006C66A1">
        <w:rPr>
          <w:rFonts w:ascii="Arial" w:eastAsia="Times New Roman" w:hAnsi="Arial" w:cs="Times New Roman" w:hint="cs"/>
          <w:color w:val="000000" w:themeColor="text1"/>
          <w:sz w:val="32"/>
          <w:szCs w:val="32"/>
          <w:rtl/>
          <w:lang w:eastAsia="fr-FR" w:bidi="ar-DZ"/>
        </w:rPr>
        <w:t>، أما اصطلاحا فهو عند ثعلب ما كان بينَ بينَ، ليس بالبدوي المغرق في البداوة، ولا العامي المتردي في أدنى دركات العامية، يقول</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فأما جزالة اللفظ فما لم يكن بالمـُغرِب البدوي، ولا السفساف العامي، ولكن ما اشتدّ أَسْره، وسهل لفظه، ونأى واستصعب على غير المطبوعين مرامُه، وتُوُهِّم إمكانُه</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7"/>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وكون اللفظ مستصعبا على غير المطبوعين، مع طمعهم في القدرة عليه هو ما يُعبَّر عنه بالسهل الممتنع</w:t>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 xml:space="preserve">وقريب من ذلك معنى الجزالة عند أبي هلال العسكري، يقول </w:t>
      </w:r>
      <w:r w:rsidRPr="006C66A1">
        <w:rPr>
          <w:rFonts w:ascii="Arial" w:eastAsia="Times New Roman" w:hAnsi="Arial" w:cs="Simplified Arabic" w:hint="cs"/>
          <w:color w:val="000000" w:themeColor="text1"/>
          <w:sz w:val="32"/>
          <w:szCs w:val="32"/>
          <w:rtl/>
          <w:lang w:eastAsia="fr-FR" w:bidi="ar-DZ"/>
        </w:rPr>
        <w:t xml:space="preserve">: " </w:t>
      </w:r>
      <w:r w:rsidRPr="006C66A1">
        <w:rPr>
          <w:rFonts w:ascii="Arial" w:eastAsia="Times New Roman" w:hAnsi="Arial" w:cs="Times New Roman" w:hint="cs"/>
          <w:color w:val="000000" w:themeColor="text1"/>
          <w:sz w:val="32"/>
          <w:szCs w:val="32"/>
          <w:rtl/>
          <w:lang w:eastAsia="fr-FR" w:bidi="ar-DZ"/>
        </w:rPr>
        <w:t>أما الجزل والمختار من الكلام فهو الذي تعرفه العامّة إذا سمعته، ولا تستعمله في محاوراتها</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8"/>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ومن أجل ذلك لا يرى تناقضا بين الجزالة والسهولة، إذ يجمع بينهما في قوله</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xml:space="preserve">وأجود الكلام ما يكون جزلا </w:t>
      </w:r>
      <w:r w:rsidRPr="006C66A1">
        <w:rPr>
          <w:rFonts w:ascii="Arial" w:eastAsia="Times New Roman" w:hAnsi="Arial" w:cs="Times New Roman" w:hint="cs"/>
          <w:color w:val="000000" w:themeColor="text1"/>
          <w:sz w:val="32"/>
          <w:szCs w:val="32"/>
          <w:rtl/>
          <w:lang w:eastAsia="fr-FR" w:bidi="ar-DZ"/>
        </w:rPr>
        <w:lastRenderedPageBreak/>
        <w:t>سهلا، لا ينغلق معناه، ولا يستبهم مغزاه، ولا يكون مكدوداً مستكرها، ومتوعّرا متقعّرا، ويكون بريئا من الغثاثة، عاريا من الرّثاثة</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xml:space="preserve">والكلام إذا كان لفظه غثّا، ومعرضه رثّا كان مردودا، ولو احتوى على أجلّ معنى وأنبله، وأرفعه وأفضله </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9"/>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بخلاف مفهومها عند أبي فرج الأصفهاني، الذي يبدو أنه يرى الجزل ما أحاطت به صلابة البداوة، مقابلا للرقة، ويستنتج ذلك من حديثه عن أبي شُراعة، وشعره الذي وصفه بأنه</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جيد الشعر جزله، ليس برقيق الطبع، ولا سهل اللفظ، وهو كالبدوي الشعر في مذهبه</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10"/>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أما الجاحظ فيجعله في مقابل السخيف، يقول</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وكلامُ النّاس في طبقاتٍ كما أنّ الناسَ أنفسَهم في طبقات، فمن الكلام الجَزلُ والسَّخيف، والمليحُ والحسن، والقبيح والسَّمجُ، والخفيفُ والثقيل وكلُّه عربيّ، وبكُلٍّ قد تكلَّموا، وبكلٍّ قد تَمَادَحوا وتعايبوا</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11"/>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أما ابن الأثير فله رأي لافت، يفرّق فيه بين اللفظ الجزل واللفظ الرقيق، وبين موطني استخدامهما، يقول</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الألفاظ تنقسم في الاستعمال إلى جزلة ورقيقة، ولكل منهما موضع يحسن استعماله فيه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فالجزل منها يستعمل في وصف مواقف الحروب، وفي قوارع التهديد والتخويف، وأشباه ذلك</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وأما الرقيق منها فإنه يستعمل في وصف الأشواق وذكر أيام البعاد، وفي استجلاب المودات، وملاينات الاستعطاف، وأشباه ذلك</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12"/>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ويزيد تصوره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 xml:space="preserve">للمعنيين توضيحا بعبارة تمثيلية يقول فيها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الألفاظ الجزلة تتخيل في السمع كأشخاص عليها مهابة ووقار، والألفاظ الرقيقة تتخيل كأشخاص ذوي دماثة ولين أخلاق ولطافة مزاج، ولهذا ترى ألفاظ أبي تمام كأنها رجال قد ركبوا خيولهم، واستلأموا سلاحهم، وتأهبوا للطراد، وترى ألفاظ البحتري كأنها نساء حسان عليهن غلائل مصبغات وقد تحلين بأصناف الحلي</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13"/>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lastRenderedPageBreak/>
        <w:t xml:space="preserve">ويخالف ما ذهب إليه الأصفهاني في ربط الجزالة بالبداوة قائلا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ولست أعني بالجزل من الألفاظ أن يكون</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 xml:space="preserve">وحشيا متوعرا عليه عنجهية البداوة، بل أعني بالجزل أن يكون متينا على عذوبته في الفم ولذاذته في السمع </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14"/>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 xml:space="preserve">كما أنه لا يعني باللفظ الرقيق ما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يكون ركيكا سَفْسَفا، وإنما هو اللطيف الرقيق الحاشية الناعم الملمس</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bidi="ar-DZ"/>
        </w:rPr>
        <w:footnoteReference w:id="15"/>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مما سبق يتبين أن مفهوم الجزالة عند بعض النقاد والبلاغيين القدماء، يتبين</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بالتفريق بينه وبين مفهوم السخف، كما عند الجاحظ، وعندئذ تكون الجزالة قيمة فنية مطلقة، مطلوبة في كل الأحوال، مهما يكن الغرض المراد التعبير عنه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وعند آخرين بالتفريق بينه وبين الرقة، كما هو الأمر عند ابن الأثير، وهذا الرأي أوجه وأقوى، يستمد أرجحيته من المعنى اللغوي نفسه للجزالة، وفي هذه الحال تكون الجزالة قيمة نسبية، مناسبة لشعر الحماسة، وما يتعلق به من وصف الحروب والملاحم، أو ما يشبه ذلك</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وربما كان هذا سبب اشتراط المرزوقي الجزالة في اللفظ وهو يصوغ مفهوم عمود الشعر، إذ كان يضع ذلك المفهوم في مقدمته لشرح حماسة أبي تمام، والحماسة قرينة الجزالة بمفهومها عند ابن الاثير، مع أن أبا تمام ضمّن كتابه أغراضا أخرى غير شعر الحروب والمعارك، ولكن يبقى أن أهم الأبواب وأحفلها هو باب الحماسة</w:t>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color w:val="000000" w:themeColor="text1"/>
          <w:sz w:val="32"/>
          <w:szCs w:val="32"/>
          <w:rtl/>
          <w:lang w:val="en-US" w:eastAsia="fr-FR"/>
        </w:rPr>
        <w:t>-       </w:t>
      </w:r>
      <w:r w:rsidRPr="006C66A1">
        <w:rPr>
          <w:rFonts w:ascii="Arial" w:eastAsia="Times New Roman" w:hAnsi="Arial" w:cs="Times New Roman" w:hint="cs"/>
          <w:color w:val="000000" w:themeColor="text1"/>
          <w:sz w:val="32"/>
          <w:szCs w:val="32"/>
          <w:rtl/>
          <w:lang w:eastAsia="fr-FR" w:bidi="ar-DZ"/>
        </w:rPr>
        <w:t>جانب الوصف</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وشرطه الإصابة، أي اختيار ما يناسب الموصوف من صفات مشاكلة له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فجوهر الشعر ذكر صفات الموصوف، التي هي أرفع قيمة في الفن من ماهيته المجردة</w:t>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color w:val="000000" w:themeColor="text1"/>
          <w:sz w:val="32"/>
          <w:szCs w:val="32"/>
          <w:rtl/>
          <w:lang w:val="en-US" w:eastAsia="fr-FR"/>
        </w:rPr>
        <w:t>-       </w:t>
      </w:r>
      <w:r w:rsidRPr="006C66A1">
        <w:rPr>
          <w:rFonts w:ascii="Arial" w:eastAsia="Times New Roman" w:hAnsi="Arial" w:cs="Times New Roman" w:hint="cs"/>
          <w:color w:val="000000" w:themeColor="text1"/>
          <w:sz w:val="32"/>
          <w:szCs w:val="32"/>
          <w:rtl/>
          <w:lang w:eastAsia="fr-FR" w:bidi="ar-DZ"/>
        </w:rPr>
        <w:t>جانب التصوير والخيال</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وأساسه التشبيه الذي يشترط له المقاربة بين طرفيه، فيجب البعد عن التغريب جهد المستطاع في إحداث العلائقية بين المشبه والمشبه به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ثم الاستعارة التي ما هي إلا الدرجة القصوى للتشبيه، فيجب فيها ما يجب فيه من ضرورة تجنب التهويم في العلاقة بين المستعار منه والمستعار له</w:t>
      </w:r>
      <w:r w:rsidRPr="006C66A1">
        <w:rPr>
          <w:rFonts w:ascii="Arial" w:eastAsia="Times New Roman" w:hAnsi="Arial" w:cs="Simplified Arabic" w:hint="cs"/>
          <w:color w:val="000000" w:themeColor="text1"/>
          <w:sz w:val="32"/>
          <w:szCs w:val="32"/>
          <w:rtl/>
          <w:lang w:eastAsia="fr-FR" w:bidi="ar-DZ"/>
        </w:rPr>
        <w:t>. </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color w:val="000000" w:themeColor="text1"/>
          <w:sz w:val="32"/>
          <w:szCs w:val="32"/>
          <w:rtl/>
          <w:lang w:val="en-US" w:eastAsia="fr-FR"/>
        </w:rPr>
        <w:lastRenderedPageBreak/>
        <w:t>-       </w:t>
      </w:r>
      <w:r w:rsidRPr="006C66A1">
        <w:rPr>
          <w:rFonts w:ascii="Arial" w:eastAsia="Times New Roman" w:hAnsi="Arial" w:cs="Times New Roman" w:hint="cs"/>
          <w:color w:val="000000" w:themeColor="text1"/>
          <w:sz w:val="32"/>
          <w:szCs w:val="32"/>
          <w:rtl/>
          <w:lang w:eastAsia="fr-FR" w:bidi="ar-DZ"/>
        </w:rPr>
        <w:t>الجانب التركيبي مع الجانب الموسيقي أو العروضي</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أما الجانب التركيبي فيتصل ببناء البيت ابتداءً، وانتهاءً ببناء القصيدة كلها، فيجب صرف العناية إلى حسن رصف الكلمات في البيت الواحد، ثم رصف الأبيات في القصيدة، أما الجانب الموسيقي فتلزم العنايةُ به من حيثيتين</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الأولى تتمثل في تخير الوزن المستلذ، والعمل على إحداث التلاحم بين محتلف مكونات البنية الموسيقية</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والثانية تتمثل في اتحاد اللفظ والمعنى معا، وتعاونهما وعدم تغليب أحدهما على الآخر عند الاتجاه إلى وضع القافية أو النوطة المناسبة، وذلك بتجنب التكلف وفرض حضور أحدهما على حساب الآخر، فالملاحظ أنها عودة إلى اللفظ والمعنى، لكن بنظرة تفاعلية بينهما من جهة، وهو تفاعل ليس لذاته، بل من أجل الإسهام في بناء النغمة الموسيقية، من جهة أخرى</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والجمع بين الجانب التركيبي والموسيقي يدل على رهافة حس وعمق نظرة عند المرزوقي، فالموسيقى أثر فني لا يدرك إلا مركبا، وحسن تركيب الألفاظ موسيقى داخلية عميقة، والعروض موسيقى خارجية سطحية، ولا يخفى أثر التفاعل بين الجانبين في إحداث سمفومية متكاملة الأدوات متناغمة الأصوات</w:t>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معايير</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t>وربما أحس المرزوقي أنه مطالب بعد تفصيل عمود الشعر في الأبواب السبعة، بأن يضع معايير أو روائز يراز به كل باب أو عنصر،</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Simplified Arabic" w:hint="cs"/>
          <w:color w:val="000000" w:themeColor="text1"/>
          <w:sz w:val="32"/>
          <w:szCs w:val="32"/>
          <w:lang w:eastAsia="fr-FR" w:bidi="ar-DZ"/>
        </w:rPr>
        <w:t> </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rPr>
        <w:t>فعيار</w:t>
      </w:r>
      <w:r w:rsidRPr="006C66A1">
        <w:rPr>
          <w:rFonts w:ascii="Arial" w:eastAsia="Times New Roman" w:hAnsi="Arial" w:cs="Simplified Arabic" w:hint="cs"/>
          <w:color w:val="000000" w:themeColor="text1"/>
          <w:sz w:val="32"/>
          <w:szCs w:val="32"/>
          <w:lang w:eastAsia="fr-FR"/>
        </w:rPr>
        <w:t> </w:t>
      </w:r>
      <w:r w:rsidRPr="006C66A1">
        <w:rPr>
          <w:rFonts w:ascii="Arial" w:eastAsia="Times New Roman" w:hAnsi="Arial" w:cs="Times New Roman" w:hint="cs"/>
          <w:color w:val="000000" w:themeColor="text1"/>
          <w:sz w:val="32"/>
          <w:szCs w:val="32"/>
          <w:rtl/>
          <w:lang w:eastAsia="fr-FR"/>
        </w:rPr>
        <w:t xml:space="preserve">المعنى أن يعرض على العقل الصحيح والفهم الثاقب </w:t>
      </w:r>
      <w:r w:rsidRPr="006C66A1">
        <w:rPr>
          <w:rFonts w:ascii="Arial" w:eastAsia="Times New Roman" w:hAnsi="Arial" w:cs="Simplified Arabic" w:hint="cs"/>
          <w:color w:val="000000" w:themeColor="text1"/>
          <w:sz w:val="32"/>
          <w:szCs w:val="32"/>
          <w:rtl/>
          <w:lang w:eastAsia="fr-FR"/>
        </w:rPr>
        <w:t>...</w:t>
      </w:r>
      <w:r w:rsidRPr="006C66A1">
        <w:rPr>
          <w:rFonts w:ascii="Arial" w:eastAsia="Times New Roman" w:hAnsi="Arial" w:cs="Simplified Arabic" w:hint="cs"/>
          <w:color w:val="000000" w:themeColor="text1"/>
          <w:sz w:val="32"/>
          <w:szCs w:val="32"/>
          <w:lang w:eastAsia="fr-FR"/>
        </w:rPr>
        <w:t> </w:t>
      </w:r>
      <w:r w:rsidRPr="006C66A1">
        <w:rPr>
          <w:rFonts w:ascii="Arial" w:eastAsia="Times New Roman" w:hAnsi="Arial" w:cs="Times New Roman" w:hint="cs"/>
          <w:color w:val="000000" w:themeColor="text1"/>
          <w:sz w:val="32"/>
          <w:szCs w:val="32"/>
          <w:rtl/>
          <w:lang w:eastAsia="fr-FR"/>
        </w:rPr>
        <w:t>وعيار</w:t>
      </w:r>
      <w:r w:rsidRPr="006C66A1">
        <w:rPr>
          <w:rFonts w:ascii="Arial" w:eastAsia="Times New Roman" w:hAnsi="Arial" w:cs="Simplified Arabic" w:hint="cs"/>
          <w:color w:val="000000" w:themeColor="text1"/>
          <w:sz w:val="32"/>
          <w:szCs w:val="32"/>
          <w:lang w:eastAsia="fr-FR"/>
        </w:rPr>
        <w:t> </w:t>
      </w:r>
      <w:r w:rsidRPr="006C66A1">
        <w:rPr>
          <w:rFonts w:ascii="Arial" w:eastAsia="Times New Roman" w:hAnsi="Arial" w:cs="Times New Roman" w:hint="cs"/>
          <w:color w:val="000000" w:themeColor="text1"/>
          <w:sz w:val="32"/>
          <w:szCs w:val="32"/>
          <w:rtl/>
          <w:lang w:eastAsia="fr-FR"/>
        </w:rPr>
        <w:t xml:space="preserve">اللفظ الطبع والرواية والاستعمال، </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وعيار الإصابة في الوصف الذكاء وحسن التمييز</w:t>
      </w:r>
      <w:r w:rsidRPr="006C66A1">
        <w:rPr>
          <w:rFonts w:ascii="Arial" w:eastAsia="Times New Roman" w:hAnsi="Arial" w:cs="Simplified Arabic" w:hint="cs"/>
          <w:color w:val="000000" w:themeColor="text1"/>
          <w:sz w:val="32"/>
          <w:szCs w:val="32"/>
          <w:rtl/>
          <w:lang w:eastAsia="fr-FR"/>
        </w:rPr>
        <w:t> </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rPr>
        <w:t>وعيار</w:t>
      </w:r>
      <w:r w:rsidRPr="006C66A1">
        <w:rPr>
          <w:rFonts w:ascii="Arial" w:eastAsia="Times New Roman" w:hAnsi="Arial" w:cs="Simplified Arabic" w:hint="cs"/>
          <w:color w:val="000000" w:themeColor="text1"/>
          <w:sz w:val="32"/>
          <w:szCs w:val="32"/>
          <w:lang w:eastAsia="fr-FR"/>
        </w:rPr>
        <w:t> </w:t>
      </w:r>
      <w:r w:rsidRPr="006C66A1">
        <w:rPr>
          <w:rFonts w:ascii="Arial" w:eastAsia="Times New Roman" w:hAnsi="Arial" w:cs="Times New Roman" w:hint="cs"/>
          <w:color w:val="000000" w:themeColor="text1"/>
          <w:sz w:val="32"/>
          <w:szCs w:val="32"/>
          <w:rtl/>
          <w:lang w:eastAsia="fr-FR"/>
        </w:rPr>
        <w:t xml:space="preserve">المقاربة في التشبيه الفطنة وحسن التقدير </w:t>
      </w:r>
      <w:r w:rsidRPr="006C66A1">
        <w:rPr>
          <w:rFonts w:ascii="Arial" w:eastAsia="Times New Roman" w:hAnsi="Arial" w:cs="Simplified Arabic" w:hint="cs"/>
          <w:color w:val="000000" w:themeColor="text1"/>
          <w:sz w:val="32"/>
          <w:szCs w:val="32"/>
          <w:rtl/>
          <w:lang w:eastAsia="fr-FR"/>
        </w:rPr>
        <w:t>...</w:t>
      </w:r>
      <w:r w:rsidRPr="006C66A1">
        <w:rPr>
          <w:rFonts w:ascii="Arial" w:eastAsia="Times New Roman" w:hAnsi="Arial" w:cs="Times New Roman" w:hint="cs"/>
          <w:color w:val="000000" w:themeColor="text1"/>
          <w:sz w:val="32"/>
          <w:szCs w:val="32"/>
          <w:rtl/>
          <w:lang w:eastAsia="fr-FR"/>
        </w:rPr>
        <w:t>وعيار التحام أجزاء النظم والتئامه على تخير من</w:t>
      </w:r>
      <w:r w:rsidRPr="006C66A1">
        <w:rPr>
          <w:rFonts w:ascii="Arial" w:eastAsia="Times New Roman" w:hAnsi="Arial" w:cs="Simplified Arabic" w:hint="cs"/>
          <w:color w:val="000000" w:themeColor="text1"/>
          <w:sz w:val="32"/>
          <w:szCs w:val="32"/>
          <w:lang w:eastAsia="fr-FR"/>
        </w:rPr>
        <w:t> </w:t>
      </w:r>
      <w:r w:rsidRPr="006C66A1">
        <w:rPr>
          <w:rFonts w:ascii="Arial" w:eastAsia="Times New Roman" w:hAnsi="Arial" w:cs="Times New Roman" w:hint="cs"/>
          <w:color w:val="000000" w:themeColor="text1"/>
          <w:sz w:val="32"/>
          <w:szCs w:val="32"/>
          <w:rtl/>
          <w:lang w:eastAsia="fr-FR"/>
        </w:rPr>
        <w:t xml:space="preserve">لذيذ الوزن، الطبع واللسان </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 xml:space="preserve">وعيار الاستعارة الذهن والفطنة </w:t>
      </w:r>
      <w:r w:rsidRPr="006C66A1">
        <w:rPr>
          <w:rFonts w:ascii="Arial" w:eastAsia="Times New Roman" w:hAnsi="Arial" w:cs="Simplified Arabic" w:hint="cs"/>
          <w:color w:val="000000" w:themeColor="text1"/>
          <w:sz w:val="32"/>
          <w:szCs w:val="32"/>
          <w:rtl/>
          <w:lang w:eastAsia="fr-FR"/>
        </w:rPr>
        <w:t>...</w:t>
      </w:r>
      <w:r w:rsidRPr="006C66A1">
        <w:rPr>
          <w:rFonts w:ascii="Arial" w:eastAsia="Times New Roman" w:hAnsi="Arial" w:cs="Simplified Arabic" w:hint="cs"/>
          <w:color w:val="000000" w:themeColor="text1"/>
          <w:sz w:val="32"/>
          <w:szCs w:val="32"/>
          <w:lang w:eastAsia="fr-FR"/>
        </w:rPr>
        <w:t> </w:t>
      </w:r>
      <w:r w:rsidRPr="006C66A1">
        <w:rPr>
          <w:rFonts w:ascii="Arial" w:eastAsia="Times New Roman" w:hAnsi="Arial" w:cs="Times New Roman" w:hint="cs"/>
          <w:color w:val="000000" w:themeColor="text1"/>
          <w:sz w:val="32"/>
          <w:szCs w:val="32"/>
          <w:rtl/>
          <w:lang w:eastAsia="fr-FR"/>
        </w:rPr>
        <w:t>وعيار مشاكلة اللفظ للمعنى وشدة اقتضائهما</w:t>
      </w:r>
      <w:r w:rsidRPr="006C66A1">
        <w:rPr>
          <w:rFonts w:ascii="Arial" w:eastAsia="Times New Roman" w:hAnsi="Arial" w:cs="Simplified Arabic" w:hint="cs"/>
          <w:color w:val="000000" w:themeColor="text1"/>
          <w:sz w:val="32"/>
          <w:szCs w:val="32"/>
          <w:lang w:eastAsia="fr-FR"/>
        </w:rPr>
        <w:t> </w:t>
      </w:r>
      <w:r w:rsidRPr="006C66A1">
        <w:rPr>
          <w:rFonts w:ascii="Arial" w:eastAsia="Times New Roman" w:hAnsi="Arial" w:cs="Times New Roman" w:hint="cs"/>
          <w:color w:val="000000" w:themeColor="text1"/>
          <w:sz w:val="32"/>
          <w:szCs w:val="32"/>
          <w:rtl/>
          <w:lang w:eastAsia="fr-FR"/>
        </w:rPr>
        <w:t xml:space="preserve">للقافية، طول الدُّربة ودوام المدارسة، </w:t>
      </w:r>
      <w:r w:rsidRPr="006C66A1">
        <w:rPr>
          <w:rFonts w:ascii="Arial" w:eastAsia="Times New Roman" w:hAnsi="Arial" w:cs="Simplified Arabic" w:hint="cs"/>
          <w:color w:val="000000" w:themeColor="text1"/>
          <w:sz w:val="32"/>
          <w:szCs w:val="32"/>
          <w:rtl/>
          <w:lang w:eastAsia="fr-FR"/>
        </w:rPr>
        <w:t xml:space="preserve">... </w:t>
      </w:r>
      <w:r w:rsidRPr="006C66A1">
        <w:rPr>
          <w:rFonts w:ascii="Arial" w:eastAsia="Times New Roman" w:hAnsi="Arial" w:cs="Times New Roman" w:hint="cs"/>
          <w:color w:val="000000" w:themeColor="text1"/>
          <w:sz w:val="32"/>
          <w:szCs w:val="32"/>
          <w:rtl/>
          <w:lang w:eastAsia="fr-FR"/>
        </w:rPr>
        <w:t>وأما القافية فيجب أن تكون</w:t>
      </w:r>
      <w:r w:rsidRPr="006C66A1">
        <w:rPr>
          <w:rFonts w:ascii="Arial" w:eastAsia="Times New Roman" w:hAnsi="Arial" w:cs="Simplified Arabic" w:hint="cs"/>
          <w:color w:val="000000" w:themeColor="text1"/>
          <w:sz w:val="32"/>
          <w:szCs w:val="32"/>
          <w:lang w:eastAsia="fr-FR"/>
        </w:rPr>
        <w:t> </w:t>
      </w:r>
      <w:r w:rsidRPr="006C66A1">
        <w:rPr>
          <w:rFonts w:ascii="Arial" w:eastAsia="Times New Roman" w:hAnsi="Arial" w:cs="Times New Roman" w:hint="cs"/>
          <w:color w:val="000000" w:themeColor="text1"/>
          <w:sz w:val="32"/>
          <w:szCs w:val="32"/>
          <w:rtl/>
          <w:lang w:eastAsia="fr-FR"/>
        </w:rPr>
        <w:t>كالموعود المنتظر، يتشوفها المعنى بحقه واللفظ بقسطه، وإلا كانت قلقلة في مقرها،</w:t>
      </w:r>
      <w:r w:rsidRPr="006C66A1">
        <w:rPr>
          <w:rFonts w:ascii="Arial" w:eastAsia="Times New Roman" w:hAnsi="Arial" w:cs="Simplified Arabic" w:hint="cs"/>
          <w:color w:val="000000" w:themeColor="text1"/>
          <w:sz w:val="32"/>
          <w:szCs w:val="32"/>
          <w:lang w:eastAsia="fr-FR"/>
        </w:rPr>
        <w:t> </w:t>
      </w:r>
      <w:r w:rsidRPr="006C66A1">
        <w:rPr>
          <w:rFonts w:ascii="Arial" w:eastAsia="Times New Roman" w:hAnsi="Arial" w:cs="Times New Roman" w:hint="cs"/>
          <w:color w:val="000000" w:themeColor="text1"/>
          <w:sz w:val="32"/>
          <w:szCs w:val="32"/>
          <w:rtl/>
          <w:lang w:eastAsia="fr-FR"/>
        </w:rPr>
        <w:t>مجتلبة لمستغنٍ عنها</w:t>
      </w:r>
      <w:r w:rsidRPr="006C66A1">
        <w:rPr>
          <w:rFonts w:ascii="Arial" w:eastAsia="Times New Roman" w:hAnsi="Arial" w:cs="Simplified Arabic"/>
          <w:color w:val="000000" w:themeColor="text1"/>
          <w:sz w:val="32"/>
          <w:szCs w:val="32"/>
          <w:lang w:val="en-US" w:eastAsia="fr-FR"/>
        </w:rPr>
        <w:t>" .</w:t>
      </w:r>
      <w:r w:rsidRPr="006C66A1">
        <w:rPr>
          <w:rStyle w:val="Appelnotedebasdep"/>
          <w:rFonts w:ascii="Arial" w:eastAsia="Times New Roman" w:hAnsi="Arial" w:cs="Simplified Arabic"/>
          <w:color w:val="000000" w:themeColor="text1"/>
          <w:sz w:val="32"/>
          <w:szCs w:val="32"/>
          <w:lang w:val="en-US" w:eastAsia="fr-FR"/>
        </w:rPr>
        <w:footnoteReference w:id="16"/>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ويُتبع كل عيار بتفصيل وشرح، يدل على حسن تصور للقضية، وبراعة منطق، وقدرة على الإقناع، على الأقل عند تحكيم القيم الجمالية المعتبرة يومئذ، وفي ظل الأعراف والتقاليد السائدة آنذاك</w:t>
      </w:r>
      <w:r w:rsidRPr="006C66A1">
        <w:rPr>
          <w:rFonts w:ascii="Arial" w:eastAsia="Times New Roman" w:hAnsi="Arial" w:cs="Simplified Arabic" w:hint="cs"/>
          <w:color w:val="000000" w:themeColor="text1"/>
          <w:sz w:val="32"/>
          <w:szCs w:val="32"/>
          <w:rtl/>
          <w:lang w:eastAsia="fr-FR" w:bidi="ar-DZ"/>
        </w:rPr>
        <w:t>.</w:t>
      </w:r>
    </w:p>
    <w:p w:rsidR="00466989" w:rsidRPr="006C66A1" w:rsidRDefault="00466989" w:rsidP="00466989">
      <w:pPr>
        <w:shd w:val="clear" w:color="auto" w:fill="FFFFFF"/>
        <w:bidi/>
        <w:spacing w:after="0"/>
        <w:jc w:val="both"/>
        <w:rPr>
          <w:rFonts w:ascii="Arial" w:eastAsia="Times New Roman" w:hAnsi="Arial" w:cs="Simplified Arabic"/>
          <w:color w:val="000000" w:themeColor="text1"/>
          <w:sz w:val="32"/>
          <w:szCs w:val="32"/>
          <w:rtl/>
          <w:lang w:eastAsia="fr-FR"/>
        </w:rPr>
      </w:pPr>
      <w:r w:rsidRPr="006C66A1">
        <w:rPr>
          <w:rFonts w:ascii="Arial" w:eastAsia="Times New Roman" w:hAnsi="Arial" w:cs="Times New Roman" w:hint="cs"/>
          <w:color w:val="000000" w:themeColor="text1"/>
          <w:sz w:val="32"/>
          <w:szCs w:val="32"/>
          <w:rtl/>
          <w:lang w:eastAsia="fr-FR" w:bidi="ar-DZ"/>
        </w:rPr>
        <w:lastRenderedPageBreak/>
        <w:t>وإذا كان للمرزوقي فضل التفصيل في عمود الشعر، وتمييز أبوابه، وتقرير معاييرها، فإنه في حقيقة الأمر كان يُتم صرحا بدأ بناءَه غيرُه</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إذ يمثّل عمله الخطوة الثالثة بعد اثنتين، قام بأولاهما</w:t>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 xml:space="preserve">أبو القاسم الآمدي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ت</w:t>
      </w:r>
      <w:r w:rsidRPr="006C66A1">
        <w:rPr>
          <w:rFonts w:ascii="Arial" w:eastAsia="Times New Roman" w:hAnsi="Arial" w:cs="Simplified Arabic" w:hint="cs"/>
          <w:color w:val="000000" w:themeColor="text1"/>
          <w:sz w:val="32"/>
          <w:szCs w:val="32"/>
          <w:rtl/>
          <w:lang w:eastAsia="fr-FR" w:bidi="ar-DZ"/>
        </w:rPr>
        <w:t>. 370 </w:t>
      </w:r>
      <w:r w:rsidRPr="006C66A1">
        <w:rPr>
          <w:rFonts w:ascii="Arial" w:eastAsia="Times New Roman" w:hAnsi="Arial" w:cs="Times New Roman" w:hint="cs"/>
          <w:color w:val="000000" w:themeColor="text1"/>
          <w:sz w:val="32"/>
          <w:szCs w:val="32"/>
          <w:rtl/>
          <w:lang w:eastAsia="fr-FR" w:bidi="ar-DZ"/>
        </w:rPr>
        <w:t>هـ</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أول من أتى بهذا المصطلح</w:t>
      </w:r>
      <w:r w:rsidRPr="006C66A1">
        <w:rPr>
          <w:rStyle w:val="Appelnotedebasdep"/>
          <w:rFonts w:ascii="Arial" w:eastAsia="Times New Roman" w:hAnsi="Arial" w:cs="Simplified Arabic"/>
          <w:color w:val="000000" w:themeColor="text1"/>
          <w:sz w:val="32"/>
          <w:szCs w:val="32"/>
          <w:rtl/>
          <w:lang w:eastAsia="fr-FR"/>
        </w:rPr>
        <w:footnoteReference w:id="17"/>
      </w:r>
      <w:r w:rsidRPr="006C66A1">
        <w:rPr>
          <w:rFonts w:ascii="Arial" w:eastAsia="Times New Roman" w:hAnsi="Arial" w:cs="Times New Roman" w:hint="cs"/>
          <w:color w:val="000000" w:themeColor="text1"/>
          <w:sz w:val="32"/>
          <w:szCs w:val="32"/>
          <w:rtl/>
          <w:lang w:eastAsia="fr-FR" w:bidi="ar-DZ"/>
        </w:rPr>
        <w:t xml:space="preserve">، وذلك حين وصف البحتري بأنه </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ما فارق عمودَ الشعر المعروف</w:t>
      </w:r>
      <w:r w:rsidRPr="006C66A1">
        <w:rPr>
          <w:rFonts w:ascii="Arial" w:eastAsia="Times New Roman" w:hAnsi="Arial" w:cs="Simplified Arabic" w:hint="cs"/>
          <w:color w:val="000000" w:themeColor="text1"/>
          <w:sz w:val="32"/>
          <w:szCs w:val="32"/>
          <w:rtl/>
          <w:lang w:eastAsia="fr-FR" w:bidi="ar-DZ"/>
        </w:rPr>
        <w:t>..."</w:t>
      </w:r>
      <w:bookmarkStart w:id="13" w:name="_ftnref130"/>
      <w:r w:rsidRPr="006C66A1">
        <w:rPr>
          <w:rStyle w:val="Appelnotedebasdep"/>
          <w:rFonts w:ascii="Arial" w:eastAsia="Times New Roman" w:hAnsi="Arial" w:cs="Simplified Arabic"/>
          <w:color w:val="000000" w:themeColor="text1"/>
          <w:sz w:val="32"/>
          <w:szCs w:val="32"/>
          <w:rtl/>
          <w:lang w:eastAsia="fr-FR" w:bidi="ar-DZ"/>
        </w:rPr>
        <w:footnoteReference w:id="18"/>
      </w:r>
      <w:bookmarkEnd w:id="13"/>
      <w:r w:rsidRPr="006C66A1">
        <w:rPr>
          <w:rFonts w:ascii="Arial" w:eastAsia="Times New Roman" w:hAnsi="Arial" w:cs="Times New Roman" w:hint="cs"/>
          <w:color w:val="000000" w:themeColor="text1"/>
          <w:sz w:val="32"/>
          <w:szCs w:val="32"/>
          <w:u w:val="single"/>
          <w:rtl/>
          <w:lang w:val="en-US" w:eastAsia="fr-FR" w:bidi="ar-DZ"/>
        </w:rPr>
        <w:t>،</w:t>
      </w:r>
      <w:r w:rsidRPr="006C66A1">
        <w:rPr>
          <w:rFonts w:ascii="Arial" w:eastAsia="Times New Roman" w:hAnsi="Arial" w:cs="Times New Roman" w:hint="cs"/>
          <w:color w:val="000000" w:themeColor="text1"/>
          <w:sz w:val="32"/>
          <w:szCs w:val="32"/>
          <w:rtl/>
          <w:lang w:eastAsia="fr-FR" w:bidi="ar-DZ"/>
        </w:rPr>
        <w:t xml:space="preserve"> ثم أعقبه في خطوة ثانية القاضي الجرجاني </w:t>
      </w:r>
      <w:r w:rsidRPr="006C66A1">
        <w:rPr>
          <w:rFonts w:ascii="Arial" w:eastAsia="Times New Roman" w:hAnsi="Arial" w:cs="Simplified Arabic" w:hint="cs"/>
          <w:color w:val="000000" w:themeColor="text1"/>
          <w:sz w:val="32"/>
          <w:szCs w:val="32"/>
          <w:rtl/>
          <w:lang w:eastAsia="fr-FR" w:bidi="ar-DZ"/>
        </w:rPr>
        <w:t>(392 </w:t>
      </w:r>
      <w:r w:rsidRPr="006C66A1">
        <w:rPr>
          <w:rFonts w:ascii="Arial" w:eastAsia="Times New Roman" w:hAnsi="Arial" w:cs="Times New Roman" w:hint="cs"/>
          <w:color w:val="000000" w:themeColor="text1"/>
          <w:sz w:val="32"/>
          <w:szCs w:val="32"/>
          <w:rtl/>
          <w:lang w:eastAsia="fr-FR" w:bidi="ar-DZ"/>
        </w:rPr>
        <w:t>هـ</w:t>
      </w:r>
      <w:r w:rsidRPr="006C66A1">
        <w:rPr>
          <w:rFonts w:ascii="Arial" w:eastAsia="Times New Roman" w:hAnsi="Arial" w:cs="Simplified Arabic" w:hint="cs"/>
          <w:color w:val="000000" w:themeColor="text1"/>
          <w:sz w:val="32"/>
          <w:szCs w:val="32"/>
          <w:rtl/>
          <w:lang w:eastAsia="fr-FR" w:bidi="ar-DZ"/>
        </w:rPr>
        <w:t>)</w:t>
      </w:r>
      <w:r w:rsidRPr="006C66A1">
        <w:rPr>
          <w:rFonts w:ascii="Arial" w:eastAsia="Times New Roman" w:hAnsi="Arial" w:cs="Times New Roman" w:hint="cs"/>
          <w:color w:val="000000" w:themeColor="text1"/>
          <w:sz w:val="32"/>
          <w:szCs w:val="32"/>
          <w:rtl/>
          <w:lang w:eastAsia="fr-FR" w:bidi="ar-DZ"/>
        </w:rPr>
        <w:t>، الذي لم يُعيِه أن يعكس القيم السلبية، التي نظر منها الآمدي إلى عمود الشعر عند نقده لأبي تمام، فيضعها الجرجاني في مواجهة ما يناقضها من قيم إيجابية في شعر البحتري</w:t>
      </w:r>
      <w:r w:rsidRPr="006C66A1">
        <w:rPr>
          <w:rStyle w:val="Appelnotedebasdep"/>
          <w:rFonts w:ascii="Arial" w:eastAsia="Times New Roman" w:hAnsi="Arial" w:cs="Simplified Arabic"/>
          <w:color w:val="000000" w:themeColor="text1"/>
          <w:sz w:val="32"/>
          <w:szCs w:val="32"/>
          <w:rtl/>
          <w:lang w:eastAsia="fr-FR"/>
        </w:rPr>
        <w:footnoteReference w:id="19"/>
      </w:r>
      <w:r w:rsidRPr="006C66A1">
        <w:rPr>
          <w:rFonts w:ascii="Arial" w:eastAsia="Times New Roman" w:hAnsi="Arial" w:cs="Simplified Arabic" w:hint="cs"/>
          <w:color w:val="000000" w:themeColor="text1"/>
          <w:sz w:val="32"/>
          <w:szCs w:val="32"/>
          <w:rtl/>
          <w:lang w:eastAsia="fr-FR" w:bidi="ar-DZ"/>
        </w:rPr>
        <w:t>. </w:t>
      </w:r>
      <w:r w:rsidRPr="006C66A1">
        <w:rPr>
          <w:rFonts w:ascii="Arial" w:eastAsia="Times New Roman" w:hAnsi="Arial" w:cs="Times New Roman" w:hint="cs"/>
          <w:color w:val="000000" w:themeColor="text1"/>
          <w:sz w:val="32"/>
          <w:szCs w:val="32"/>
          <w:rtl/>
          <w:lang w:eastAsia="fr-FR" w:bidi="ar-DZ"/>
        </w:rPr>
        <w:t xml:space="preserve">السائر في فنه سيرة العرب التي </w:t>
      </w:r>
      <w:r w:rsidRPr="006C66A1">
        <w:rPr>
          <w:rFonts w:ascii="Arial" w:eastAsia="Times New Roman" w:hAnsi="Arial" w:cs="Simplified Arabic" w:hint="cs"/>
          <w:color w:val="000000" w:themeColor="text1"/>
          <w:sz w:val="32"/>
          <w:szCs w:val="32"/>
          <w:rtl/>
          <w:lang w:eastAsia="fr-FR" w:bidi="ar-DZ"/>
        </w:rPr>
        <w:t xml:space="preserve">"... </w:t>
      </w:r>
      <w:r w:rsidRPr="006C66A1">
        <w:rPr>
          <w:rFonts w:ascii="Arial" w:eastAsia="Times New Roman" w:hAnsi="Arial" w:cs="Times New Roman" w:hint="cs"/>
          <w:color w:val="000000" w:themeColor="text1"/>
          <w:sz w:val="32"/>
          <w:szCs w:val="32"/>
          <w:rtl/>
          <w:lang w:eastAsia="fr-FR" w:bidi="ar-DZ"/>
        </w:rPr>
        <w:t>إنما تُفاضل بين الشعراء في الجودة والحسن بشرف المعنى وصحّته، وجزالة اللفظ واستقامته، وتسلّم السّبْق فيه لمنْ وصف فأصاب، وشبّه فقارب، وبدَهَ فأغزَر، ولمَن كثرت سوائر أمثاله وشوارد أبياته؛ ولم تكن تعبأ بالتجنيس والمطابقة، ولا تحفِل بالإبداع والاستعارة إذا حصل لها عمود الشعر، ونظام القريض</w:t>
      </w:r>
      <w:r w:rsidRPr="006C66A1">
        <w:rPr>
          <w:rFonts w:ascii="Arial" w:eastAsia="Times New Roman" w:hAnsi="Arial" w:cs="Simplified Arabic" w:hint="cs"/>
          <w:color w:val="000000" w:themeColor="text1"/>
          <w:sz w:val="32"/>
          <w:szCs w:val="32"/>
          <w:rtl/>
          <w:lang w:eastAsia="fr-FR" w:bidi="ar-DZ"/>
        </w:rPr>
        <w:t>"</w:t>
      </w:r>
      <w:r w:rsidRPr="006C66A1">
        <w:rPr>
          <w:rStyle w:val="Appelnotedebasdep"/>
          <w:rFonts w:ascii="Arial" w:eastAsia="Times New Roman" w:hAnsi="Arial" w:cs="Simplified Arabic"/>
          <w:color w:val="000000" w:themeColor="text1"/>
          <w:sz w:val="32"/>
          <w:szCs w:val="32"/>
          <w:rtl/>
          <w:lang w:eastAsia="fr-FR"/>
        </w:rPr>
        <w:footnoteReference w:id="20"/>
      </w:r>
      <w:r w:rsidRPr="006C66A1">
        <w:rPr>
          <w:rFonts w:ascii="Arial" w:eastAsia="Times New Roman" w:hAnsi="Arial" w:cs="Simplified Arabic" w:hint="cs"/>
          <w:color w:val="000000" w:themeColor="text1"/>
          <w:sz w:val="32"/>
          <w:szCs w:val="32"/>
          <w:rtl/>
          <w:lang w:eastAsia="fr-FR" w:bidi="ar-DZ"/>
        </w:rPr>
        <w:t>.</w:t>
      </w:r>
    </w:p>
    <w:p w:rsidR="00466989" w:rsidRDefault="00466989" w:rsidP="00466989">
      <w:pPr>
        <w:bidi/>
      </w:pPr>
    </w:p>
    <w:sectPr w:rsidR="0046698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2ED" w:rsidRDefault="003432ED" w:rsidP="00466989">
      <w:pPr>
        <w:spacing w:after="0" w:line="240" w:lineRule="auto"/>
      </w:pPr>
      <w:r>
        <w:separator/>
      </w:r>
    </w:p>
  </w:endnote>
  <w:endnote w:type="continuationSeparator" w:id="1">
    <w:p w:rsidR="003432ED" w:rsidRDefault="003432ED" w:rsidP="00466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2ED" w:rsidRDefault="003432ED" w:rsidP="00466989">
      <w:pPr>
        <w:spacing w:after="0" w:line="240" w:lineRule="auto"/>
      </w:pPr>
      <w:r>
        <w:separator/>
      </w:r>
    </w:p>
  </w:footnote>
  <w:footnote w:type="continuationSeparator" w:id="1">
    <w:p w:rsidR="003432ED" w:rsidRDefault="003432ED" w:rsidP="00466989">
      <w:pPr>
        <w:spacing w:after="0" w:line="240" w:lineRule="auto"/>
      </w:pPr>
      <w:r>
        <w:continuationSeparator/>
      </w:r>
    </w:p>
  </w:footnote>
  <w:footnote w:id="2">
    <w:p w:rsidR="00466989" w:rsidRPr="0074779C"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r w:rsidRPr="00F542AB">
        <w:rPr>
          <w:rFonts w:ascii="Arial" w:eastAsia="Times New Roman" w:hAnsi="Arial" w:cs="Simplified Arabic" w:hint="cs"/>
          <w:color w:val="545251"/>
          <w:sz w:val="24"/>
          <w:szCs w:val="24"/>
          <w:rtl/>
          <w:lang w:eastAsia="fr-FR" w:bidi="ar-DZ"/>
        </w:rPr>
        <w:t> </w:t>
      </w:r>
      <w:r w:rsidRPr="00F542AB">
        <w:rPr>
          <w:rFonts w:ascii="Arial" w:eastAsia="Times New Roman" w:hAnsi="Arial" w:cs="Times New Roman" w:hint="cs"/>
          <w:color w:val="545251"/>
          <w:sz w:val="24"/>
          <w:szCs w:val="24"/>
          <w:rtl/>
          <w:lang w:eastAsia="fr-FR" w:bidi="ar-DZ"/>
        </w:rPr>
        <w:t>إحسان عباس</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تاريخ النقد الأدبي عند العرب، مرجع سابق، ص</w:t>
      </w:r>
      <w:r w:rsidRPr="00F542AB">
        <w:rPr>
          <w:rFonts w:ascii="Arial" w:eastAsia="Times New Roman" w:hAnsi="Arial" w:cs="Simplified Arabic" w:hint="cs"/>
          <w:color w:val="545251"/>
          <w:sz w:val="24"/>
          <w:szCs w:val="24"/>
          <w:rtl/>
          <w:lang w:eastAsia="fr-FR" w:bidi="ar-DZ"/>
        </w:rPr>
        <w:t>. 322.</w:t>
      </w:r>
    </w:p>
  </w:footnote>
  <w:footnote w:id="3">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0" w:name="_ftn115"/>
      <w:r w:rsidRPr="009F3935">
        <w:rPr>
          <w:rFonts w:ascii="Arial" w:eastAsia="Times New Roman" w:hAnsi="Arial" w:cs="Simplified Arabic"/>
          <w:color w:val="545251"/>
          <w:sz w:val="24"/>
          <w:szCs w:val="24"/>
          <w:rtl/>
          <w:lang w:eastAsia="fr-FR"/>
        </w:rPr>
        <w:t xml:space="preserve"> </w:t>
      </w:r>
      <w:bookmarkEnd w:id="0"/>
      <w:r w:rsidRPr="00F542AB">
        <w:rPr>
          <w:rFonts w:ascii="Arial" w:eastAsia="Times New Roman" w:hAnsi="Arial" w:cs="Times New Roman" w:hint="cs"/>
          <w:color w:val="545251"/>
          <w:sz w:val="24"/>
          <w:szCs w:val="24"/>
          <w:rtl/>
          <w:lang w:eastAsia="fr-FR" w:bidi="ar-DZ"/>
        </w:rPr>
        <w:t>أبو علي المرزوقي</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شرح ديوان الحماسة لأبي تمام، دار الكتب العلمية، بيروت، ط</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w:t>
      </w:r>
      <w:r w:rsidRPr="00F542AB">
        <w:rPr>
          <w:rFonts w:ascii="Arial" w:eastAsia="Times New Roman" w:hAnsi="Arial" w:cs="Simplified Arabic" w:hint="cs"/>
          <w:color w:val="545251"/>
          <w:sz w:val="24"/>
          <w:szCs w:val="24"/>
          <w:rtl/>
          <w:lang w:eastAsia="fr-FR" w:bidi="ar-DZ"/>
        </w:rPr>
        <w:t> 1424</w:t>
      </w:r>
      <w:r w:rsidRPr="00F542AB">
        <w:rPr>
          <w:rFonts w:ascii="Arial" w:eastAsia="Times New Roman" w:hAnsi="Arial" w:cs="Times New Roman" w:hint="cs"/>
          <w:color w:val="545251"/>
          <w:sz w:val="24"/>
          <w:szCs w:val="24"/>
          <w:rtl/>
          <w:lang w:eastAsia="fr-FR" w:bidi="ar-DZ"/>
        </w:rPr>
        <w:t>هـ</w:t>
      </w:r>
      <w:r w:rsidRPr="00F542AB">
        <w:rPr>
          <w:rFonts w:ascii="Arial" w:eastAsia="Times New Roman" w:hAnsi="Arial" w:cs="Simplified Arabic" w:hint="cs"/>
          <w:color w:val="545251"/>
          <w:sz w:val="24"/>
          <w:szCs w:val="24"/>
          <w:rtl/>
          <w:lang w:eastAsia="fr-FR" w:bidi="ar-DZ"/>
        </w:rPr>
        <w:t>/2003</w:t>
      </w:r>
      <w:r w:rsidRPr="00F542AB">
        <w:rPr>
          <w:rFonts w:ascii="Arial" w:eastAsia="Times New Roman" w:hAnsi="Arial" w:cs="Times New Roman" w:hint="cs"/>
          <w:color w:val="545251"/>
          <w:sz w:val="24"/>
          <w:szCs w:val="24"/>
          <w:rtl/>
          <w:lang w:eastAsia="fr-FR" w:bidi="ar-DZ"/>
        </w:rPr>
        <w:t>م،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10.</w:t>
      </w:r>
    </w:p>
  </w:footnote>
  <w:footnote w:id="4">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1" w:name="_ftn116"/>
      <w:r w:rsidRPr="009F3935">
        <w:rPr>
          <w:rFonts w:ascii="Arial" w:eastAsia="Times New Roman" w:hAnsi="Arial" w:cs="Simplified Arabic"/>
          <w:color w:val="545251"/>
          <w:sz w:val="24"/>
          <w:szCs w:val="24"/>
          <w:rtl/>
          <w:lang w:eastAsia="fr-FR"/>
        </w:rPr>
        <w:t xml:space="preserve"> </w:t>
      </w:r>
      <w:bookmarkEnd w:id="1"/>
      <w:r w:rsidRPr="00F542AB">
        <w:rPr>
          <w:rFonts w:ascii="Arial" w:eastAsia="Times New Roman" w:hAnsi="Arial" w:cs="Times New Roman" w:hint="cs"/>
          <w:color w:val="545251"/>
          <w:sz w:val="24"/>
          <w:szCs w:val="24"/>
          <w:rtl/>
          <w:lang w:eastAsia="fr-FR" w:bidi="ar-DZ"/>
        </w:rPr>
        <w:t>السابق، الموضع نفسه</w:t>
      </w:r>
      <w:r w:rsidRPr="00F542AB">
        <w:rPr>
          <w:rFonts w:ascii="Arial" w:eastAsia="Times New Roman" w:hAnsi="Arial" w:cs="Simplified Arabic" w:hint="cs"/>
          <w:color w:val="545251"/>
          <w:sz w:val="24"/>
          <w:szCs w:val="24"/>
          <w:rtl/>
          <w:lang w:eastAsia="fr-FR" w:bidi="ar-DZ"/>
        </w:rPr>
        <w:t>.</w:t>
      </w:r>
    </w:p>
  </w:footnote>
  <w:footnote w:id="5">
    <w:p w:rsidR="00466989" w:rsidRPr="0074779C"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2" w:name="_ftn117"/>
      <w:r w:rsidRPr="009F3935">
        <w:rPr>
          <w:rFonts w:ascii="Arial" w:eastAsia="Times New Roman" w:hAnsi="Arial" w:cs="Simplified Arabic"/>
          <w:color w:val="545251"/>
          <w:sz w:val="24"/>
          <w:szCs w:val="24"/>
          <w:rtl/>
          <w:lang w:eastAsia="fr-FR"/>
        </w:rPr>
        <w:t xml:space="preserve"> </w:t>
      </w:r>
      <w:bookmarkEnd w:id="2"/>
      <w:r w:rsidRPr="00F542AB">
        <w:rPr>
          <w:rFonts w:ascii="Arial" w:eastAsia="Times New Roman" w:hAnsi="Arial" w:cs="Times New Roman" w:hint="cs"/>
          <w:color w:val="545251"/>
          <w:sz w:val="24"/>
          <w:szCs w:val="24"/>
          <w:rtl/>
          <w:lang w:eastAsia="fr-FR" w:bidi="ar-DZ"/>
        </w:rPr>
        <w:t>الجاحظ</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البيان والتبيين، مصدر 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136.</w:t>
      </w:r>
    </w:p>
  </w:footnote>
  <w:footnote w:id="6">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3" w:name="_ftn118"/>
      <w:r w:rsidRPr="009F3935">
        <w:rPr>
          <w:rFonts w:ascii="Arial" w:eastAsia="Times New Roman" w:hAnsi="Arial" w:cs="Simplified Arabic"/>
          <w:color w:val="545251"/>
          <w:sz w:val="24"/>
          <w:szCs w:val="24"/>
          <w:rtl/>
          <w:lang w:eastAsia="fr-FR"/>
        </w:rPr>
        <w:t xml:space="preserve"> </w:t>
      </w:r>
      <w:bookmarkEnd w:id="3"/>
      <w:r w:rsidRPr="00F542AB">
        <w:rPr>
          <w:rFonts w:ascii="Arial" w:eastAsia="Times New Roman" w:hAnsi="Arial" w:cs="Times New Roman" w:hint="cs"/>
          <w:color w:val="545251"/>
          <w:sz w:val="24"/>
          <w:szCs w:val="24"/>
          <w:rtl/>
          <w:lang w:eastAsia="fr-FR" w:bidi="ar-DZ"/>
        </w:rPr>
        <w:t>ابن منظور</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 xml:space="preserve">لسان العرب، مادة </w:t>
      </w:r>
      <w:r w:rsidRPr="00F542AB">
        <w:rPr>
          <w:rFonts w:ascii="Arial" w:eastAsia="Times New Roman" w:hAnsi="Arial" w:cs="Simplified Arabic" w:hint="cs"/>
          <w:color w:val="545251"/>
          <w:sz w:val="24"/>
          <w:szCs w:val="24"/>
          <w:rtl/>
          <w:lang w:eastAsia="fr-FR" w:bidi="ar-DZ"/>
        </w:rPr>
        <w:t>(</w:t>
      </w:r>
      <w:r w:rsidRPr="00F542AB">
        <w:rPr>
          <w:rFonts w:ascii="Arial" w:eastAsia="Times New Roman" w:hAnsi="Arial" w:cs="Times New Roman" w:hint="cs"/>
          <w:color w:val="545251"/>
          <w:sz w:val="24"/>
          <w:szCs w:val="24"/>
          <w:rtl/>
          <w:lang w:eastAsia="fr-FR" w:bidi="ar-DZ"/>
        </w:rPr>
        <w:t>جزل</w:t>
      </w:r>
      <w:r w:rsidRPr="00F542AB">
        <w:rPr>
          <w:rFonts w:ascii="Arial" w:eastAsia="Times New Roman" w:hAnsi="Arial" w:cs="Simplified Arabic" w:hint="cs"/>
          <w:color w:val="545251"/>
          <w:sz w:val="24"/>
          <w:szCs w:val="24"/>
          <w:rtl/>
          <w:lang w:eastAsia="fr-FR" w:bidi="ar-DZ"/>
        </w:rPr>
        <w:t>).</w:t>
      </w:r>
    </w:p>
  </w:footnote>
  <w:footnote w:id="7">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4" w:name="_ftn119"/>
      <w:r w:rsidRPr="009F3935">
        <w:rPr>
          <w:rFonts w:ascii="Arial" w:eastAsia="Times New Roman" w:hAnsi="Arial" w:cs="Simplified Arabic"/>
          <w:color w:val="545251"/>
          <w:sz w:val="24"/>
          <w:szCs w:val="24"/>
          <w:rtl/>
          <w:lang w:eastAsia="fr-FR"/>
        </w:rPr>
        <w:t xml:space="preserve"> </w:t>
      </w:r>
      <w:bookmarkEnd w:id="4"/>
      <w:r w:rsidRPr="00F542AB">
        <w:rPr>
          <w:rFonts w:ascii="Arial" w:eastAsia="Times New Roman" w:hAnsi="Arial" w:cs="Times New Roman" w:hint="cs"/>
          <w:color w:val="545251"/>
          <w:sz w:val="24"/>
          <w:szCs w:val="24"/>
          <w:rtl/>
          <w:lang w:eastAsia="fr-FR" w:bidi="ar-DZ"/>
        </w:rPr>
        <w:t>أبو العباس ثعلب</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قواعد الشعر، الدار المصرية اللبنانية، القاهرة، ط</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w:t>
      </w:r>
      <w:r w:rsidRPr="00F542AB">
        <w:rPr>
          <w:rFonts w:ascii="Arial" w:eastAsia="Times New Roman" w:hAnsi="Arial" w:cs="Simplified Arabic" w:hint="cs"/>
          <w:color w:val="545251"/>
          <w:sz w:val="24"/>
          <w:szCs w:val="24"/>
          <w:rtl/>
          <w:lang w:eastAsia="fr-FR" w:bidi="ar-DZ"/>
        </w:rPr>
        <w:t> 1417</w:t>
      </w:r>
      <w:r w:rsidRPr="00F542AB">
        <w:rPr>
          <w:rFonts w:ascii="Arial" w:eastAsia="Times New Roman" w:hAnsi="Arial" w:cs="Times New Roman" w:hint="cs"/>
          <w:color w:val="545251"/>
          <w:sz w:val="24"/>
          <w:szCs w:val="24"/>
          <w:rtl/>
          <w:lang w:eastAsia="fr-FR" w:bidi="ar-DZ"/>
        </w:rPr>
        <w:t>هـ</w:t>
      </w:r>
      <w:r w:rsidRPr="00F542AB">
        <w:rPr>
          <w:rFonts w:ascii="Arial" w:eastAsia="Times New Roman" w:hAnsi="Arial" w:cs="Simplified Arabic" w:hint="cs"/>
          <w:color w:val="545251"/>
          <w:sz w:val="24"/>
          <w:szCs w:val="24"/>
          <w:rtl/>
          <w:lang w:eastAsia="fr-FR" w:bidi="ar-DZ"/>
        </w:rPr>
        <w:t>/1996</w:t>
      </w:r>
      <w:r w:rsidRPr="00F542AB">
        <w:rPr>
          <w:rFonts w:ascii="Arial" w:eastAsia="Times New Roman" w:hAnsi="Arial" w:cs="Times New Roman" w:hint="cs"/>
          <w:color w:val="545251"/>
          <w:sz w:val="24"/>
          <w:szCs w:val="24"/>
          <w:rtl/>
          <w:lang w:eastAsia="fr-FR" w:bidi="ar-DZ"/>
        </w:rPr>
        <w:t>م، ص</w:t>
      </w:r>
      <w:r w:rsidRPr="00F542AB">
        <w:rPr>
          <w:rFonts w:ascii="Arial" w:eastAsia="Times New Roman" w:hAnsi="Arial" w:cs="Simplified Arabic" w:hint="cs"/>
          <w:color w:val="545251"/>
          <w:sz w:val="24"/>
          <w:szCs w:val="24"/>
          <w:rtl/>
          <w:lang w:eastAsia="fr-FR" w:bidi="ar-DZ"/>
        </w:rPr>
        <w:t>. 40.</w:t>
      </w:r>
    </w:p>
  </w:footnote>
  <w:footnote w:id="8">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5" w:name="_ftn120"/>
      <w:r w:rsidRPr="009F3935">
        <w:rPr>
          <w:rFonts w:ascii="Arial" w:eastAsia="Times New Roman" w:hAnsi="Arial" w:cs="Simplified Arabic"/>
          <w:color w:val="545251"/>
          <w:sz w:val="24"/>
          <w:szCs w:val="24"/>
          <w:rtl/>
          <w:lang w:eastAsia="fr-FR"/>
        </w:rPr>
        <w:t xml:space="preserve"> </w:t>
      </w:r>
      <w:bookmarkEnd w:id="5"/>
      <w:r w:rsidRPr="00F542AB">
        <w:rPr>
          <w:rFonts w:ascii="Arial" w:eastAsia="Times New Roman" w:hAnsi="Arial" w:cs="Times New Roman" w:hint="cs"/>
          <w:color w:val="545251"/>
          <w:sz w:val="24"/>
          <w:szCs w:val="24"/>
          <w:rtl/>
          <w:lang w:eastAsia="fr-FR" w:bidi="ar-DZ"/>
        </w:rPr>
        <w:t>أبو هلال العسكري</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كتاب الصناعتين، مصدر سابق، ص</w:t>
      </w:r>
      <w:r w:rsidRPr="00F542AB">
        <w:rPr>
          <w:rFonts w:ascii="Arial" w:eastAsia="Times New Roman" w:hAnsi="Arial" w:cs="Simplified Arabic" w:hint="cs"/>
          <w:color w:val="545251"/>
          <w:sz w:val="24"/>
          <w:szCs w:val="24"/>
          <w:rtl/>
          <w:lang w:eastAsia="fr-FR" w:bidi="ar-DZ"/>
        </w:rPr>
        <w:t>. 64.</w:t>
      </w:r>
    </w:p>
  </w:footnote>
  <w:footnote w:id="9">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6" w:name="_ftn121"/>
      <w:r w:rsidRPr="009F3935">
        <w:rPr>
          <w:rFonts w:ascii="Arial" w:eastAsia="Times New Roman" w:hAnsi="Arial" w:cs="Simplified Arabic"/>
          <w:color w:val="545251"/>
          <w:sz w:val="24"/>
          <w:szCs w:val="24"/>
          <w:rtl/>
          <w:lang w:eastAsia="fr-FR"/>
        </w:rPr>
        <w:t xml:space="preserve"> </w:t>
      </w:r>
      <w:bookmarkEnd w:id="6"/>
      <w:r w:rsidRPr="00F542AB">
        <w:rPr>
          <w:rFonts w:ascii="Arial" w:eastAsia="Times New Roman" w:hAnsi="Arial" w:cs="Times New Roman" w:hint="cs"/>
          <w:color w:val="545251"/>
          <w:sz w:val="24"/>
          <w:szCs w:val="24"/>
          <w:rtl/>
          <w:lang w:eastAsia="fr-FR" w:bidi="ar-DZ"/>
        </w:rPr>
        <w:t>السابق، ص</w:t>
      </w:r>
      <w:r w:rsidRPr="00F542AB">
        <w:rPr>
          <w:rFonts w:ascii="Arial" w:eastAsia="Times New Roman" w:hAnsi="Arial" w:cs="Simplified Arabic" w:hint="cs"/>
          <w:color w:val="545251"/>
          <w:sz w:val="24"/>
          <w:szCs w:val="24"/>
          <w:rtl/>
          <w:lang w:eastAsia="fr-FR" w:bidi="ar-DZ"/>
        </w:rPr>
        <w:t>. 67.</w:t>
      </w:r>
    </w:p>
  </w:footnote>
  <w:footnote w:id="10">
    <w:p w:rsidR="00466989" w:rsidRPr="0074779C"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7" w:name="_ftn122"/>
      <w:r w:rsidRPr="009F3935">
        <w:rPr>
          <w:rFonts w:ascii="Arial" w:eastAsia="Times New Roman" w:hAnsi="Arial" w:cs="Simplified Arabic"/>
          <w:color w:val="545251"/>
          <w:sz w:val="24"/>
          <w:szCs w:val="24"/>
          <w:rtl/>
          <w:lang w:eastAsia="fr-FR"/>
        </w:rPr>
        <w:t xml:space="preserve"> </w:t>
      </w:r>
      <w:bookmarkEnd w:id="7"/>
      <w:r w:rsidRPr="00F542AB">
        <w:rPr>
          <w:rFonts w:ascii="Arial" w:eastAsia="Times New Roman" w:hAnsi="Arial" w:cs="Times New Roman" w:hint="cs"/>
          <w:color w:val="545251"/>
          <w:sz w:val="24"/>
          <w:szCs w:val="24"/>
          <w:rtl/>
          <w:lang w:eastAsia="fr-FR" w:bidi="ar-DZ"/>
        </w:rPr>
        <w:t>أبو الفرج الأصفهاني</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الأغاني، مصدر سابق، ج</w:t>
      </w:r>
      <w:r w:rsidRPr="00F542AB">
        <w:rPr>
          <w:rFonts w:ascii="Arial" w:eastAsia="Times New Roman" w:hAnsi="Arial" w:cs="Simplified Arabic" w:hint="cs"/>
          <w:color w:val="545251"/>
          <w:sz w:val="24"/>
          <w:szCs w:val="24"/>
          <w:rtl/>
          <w:lang w:eastAsia="fr-FR" w:bidi="ar-DZ"/>
        </w:rPr>
        <w:t>.22</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429.</w:t>
      </w:r>
    </w:p>
  </w:footnote>
  <w:footnote w:id="11">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8" w:name="_ftn123"/>
      <w:r w:rsidRPr="009F3935">
        <w:rPr>
          <w:rFonts w:ascii="Arial" w:eastAsia="Times New Roman" w:hAnsi="Arial" w:cs="Simplified Arabic"/>
          <w:color w:val="545251"/>
          <w:sz w:val="24"/>
          <w:szCs w:val="24"/>
          <w:rtl/>
          <w:lang w:eastAsia="fr-FR"/>
        </w:rPr>
        <w:t xml:space="preserve"> </w:t>
      </w:r>
      <w:bookmarkEnd w:id="8"/>
      <w:r w:rsidRPr="00F542AB">
        <w:rPr>
          <w:rFonts w:ascii="Arial" w:eastAsia="Times New Roman" w:hAnsi="Arial" w:cs="Times New Roman" w:hint="cs"/>
          <w:color w:val="545251"/>
          <w:sz w:val="24"/>
          <w:szCs w:val="24"/>
          <w:rtl/>
          <w:lang w:eastAsia="fr-FR" w:bidi="ar-DZ"/>
        </w:rPr>
        <w:t>الجاحظ</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البيان والتبيين، مصدر 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144.</w:t>
      </w:r>
    </w:p>
  </w:footnote>
  <w:footnote w:id="12">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9" w:name="_ftn124"/>
      <w:r w:rsidRPr="009F3935">
        <w:rPr>
          <w:rFonts w:ascii="Arial" w:eastAsia="Times New Roman" w:hAnsi="Arial" w:cs="Simplified Arabic"/>
          <w:color w:val="545251"/>
          <w:sz w:val="24"/>
          <w:szCs w:val="24"/>
          <w:rtl/>
          <w:lang w:eastAsia="fr-FR"/>
        </w:rPr>
        <w:t xml:space="preserve"> </w:t>
      </w:r>
      <w:bookmarkEnd w:id="9"/>
      <w:r w:rsidRPr="00F542AB">
        <w:rPr>
          <w:rFonts w:ascii="Arial" w:eastAsia="Times New Roman" w:hAnsi="Arial" w:cs="Times New Roman" w:hint="cs"/>
          <w:color w:val="545251"/>
          <w:sz w:val="24"/>
          <w:szCs w:val="24"/>
          <w:rtl/>
          <w:lang w:eastAsia="fr-FR" w:bidi="ar-DZ"/>
        </w:rPr>
        <w:t>ابن الأثير</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المثل السائر في أدب الكاتب والشاعر، مصدر 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172.</w:t>
      </w:r>
    </w:p>
  </w:footnote>
  <w:footnote w:id="13">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10" w:name="_ftn125"/>
      <w:r w:rsidRPr="009F3935">
        <w:rPr>
          <w:rFonts w:ascii="Arial" w:eastAsia="Times New Roman" w:hAnsi="Arial" w:cs="Simplified Arabic"/>
          <w:color w:val="545251"/>
          <w:sz w:val="24"/>
          <w:szCs w:val="24"/>
          <w:rtl/>
          <w:lang w:eastAsia="fr-FR"/>
        </w:rPr>
        <w:t xml:space="preserve"> </w:t>
      </w:r>
      <w:bookmarkEnd w:id="10"/>
      <w:r w:rsidRPr="00F542AB">
        <w:rPr>
          <w:rFonts w:ascii="Arial" w:eastAsia="Times New Roman" w:hAnsi="Arial" w:cs="Times New Roman" w:hint="cs"/>
          <w:color w:val="545251"/>
          <w:sz w:val="24"/>
          <w:szCs w:val="24"/>
          <w:rtl/>
          <w:lang w:eastAsia="fr-FR" w:bidi="ar-DZ"/>
        </w:rPr>
        <w:t>السابق،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181.</w:t>
      </w:r>
    </w:p>
  </w:footnote>
  <w:footnote w:id="14">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11" w:name="_ftn126"/>
      <w:r w:rsidRPr="009F3935">
        <w:rPr>
          <w:rFonts w:ascii="Arial" w:eastAsia="Times New Roman" w:hAnsi="Arial" w:cs="Simplified Arabic"/>
          <w:color w:val="545251"/>
          <w:sz w:val="24"/>
          <w:szCs w:val="24"/>
          <w:rtl/>
          <w:lang w:eastAsia="fr-FR"/>
        </w:rPr>
        <w:t xml:space="preserve"> </w:t>
      </w:r>
      <w:bookmarkEnd w:id="11"/>
      <w:r w:rsidRPr="00F542AB">
        <w:rPr>
          <w:rFonts w:ascii="Arial" w:eastAsia="Times New Roman" w:hAnsi="Arial" w:cs="Times New Roman" w:hint="cs"/>
          <w:color w:val="545251"/>
          <w:sz w:val="24"/>
          <w:szCs w:val="24"/>
          <w:rtl/>
          <w:lang w:eastAsia="fr-FR" w:bidi="ar-DZ"/>
        </w:rPr>
        <w:t>السابق،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172.</w:t>
      </w:r>
    </w:p>
  </w:footnote>
  <w:footnote w:id="15">
    <w:p w:rsidR="00466989" w:rsidRPr="00F542AB"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rPr>
          <w:rFonts w:hint="cs"/>
          <w:rtl/>
        </w:rPr>
        <w:t>)</w:t>
      </w:r>
      <w:r w:rsidRPr="00F542AB">
        <w:rPr>
          <w:rFonts w:ascii="Arial" w:eastAsia="Times New Roman" w:hAnsi="Arial" w:cs="Times New Roman" w:hint="cs"/>
          <w:color w:val="545251"/>
          <w:sz w:val="24"/>
          <w:szCs w:val="24"/>
          <w:rtl/>
          <w:lang w:eastAsia="fr-FR" w:bidi="ar-DZ"/>
        </w:rPr>
        <w:t>السابق، الموضع نفسه</w:t>
      </w:r>
      <w:r w:rsidRPr="00F542AB">
        <w:rPr>
          <w:rFonts w:ascii="Arial" w:eastAsia="Times New Roman" w:hAnsi="Arial" w:cs="Simplified Arabic" w:hint="cs"/>
          <w:color w:val="545251"/>
          <w:sz w:val="24"/>
          <w:szCs w:val="24"/>
          <w:rtl/>
          <w:lang w:eastAsia="fr-FR" w:bidi="ar-DZ"/>
        </w:rPr>
        <w:t>.</w:t>
      </w:r>
    </w:p>
    <w:p w:rsidR="00466989" w:rsidRDefault="00466989" w:rsidP="00466989">
      <w:pPr>
        <w:pStyle w:val="Notedebasdepage"/>
        <w:bidi/>
        <w:rPr>
          <w:rtl/>
          <w:lang w:bidi="ar-DZ"/>
        </w:rPr>
      </w:pPr>
      <w:r>
        <w:t xml:space="preserve"> </w:t>
      </w:r>
    </w:p>
  </w:footnote>
  <w:footnote w:id="16">
    <w:p w:rsidR="00466989" w:rsidRDefault="00466989" w:rsidP="00466989">
      <w:pPr>
        <w:pStyle w:val="Notedebasdepage"/>
        <w:bidi/>
        <w:rPr>
          <w:rtl/>
          <w:lang w:bidi="ar-DZ"/>
        </w:rPr>
      </w:pPr>
      <w:r>
        <w:rPr>
          <w:rStyle w:val="Appelnotedebasdep"/>
        </w:rPr>
        <w:footnoteRef/>
      </w:r>
      <w:r>
        <w:t xml:space="preserve"> </w:t>
      </w:r>
      <w:r>
        <w:rPr>
          <w:rFonts w:hint="cs"/>
          <w:rtl/>
        </w:rPr>
        <w:t>)</w:t>
      </w:r>
      <w:r w:rsidRPr="00F542AB">
        <w:rPr>
          <w:rFonts w:ascii="Arial" w:eastAsia="Times New Roman" w:hAnsi="Arial" w:cs="Simplified Arabic"/>
          <w:color w:val="545251"/>
          <w:sz w:val="24"/>
          <w:szCs w:val="24"/>
          <w:rtl/>
          <w:lang w:val="en-US" w:eastAsia="fr-FR"/>
        </w:rPr>
        <w:t> </w:t>
      </w:r>
      <w:r w:rsidRPr="00F542AB">
        <w:rPr>
          <w:rFonts w:ascii="Arial" w:eastAsia="Times New Roman" w:hAnsi="Arial" w:cs="Times New Roman" w:hint="cs"/>
          <w:color w:val="545251"/>
          <w:sz w:val="24"/>
          <w:szCs w:val="24"/>
          <w:rtl/>
          <w:lang w:eastAsia="fr-FR" w:bidi="ar-DZ"/>
        </w:rPr>
        <w:t>المرزوقي</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شرح ديوان الحماسة لأبي تمام، مصدر 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10-11</w:t>
      </w:r>
    </w:p>
  </w:footnote>
  <w:footnote w:id="17">
    <w:p w:rsidR="00466989" w:rsidRPr="0074779C"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12" w:name="_ftn129"/>
      <w:r w:rsidRPr="009F3935">
        <w:rPr>
          <w:rFonts w:ascii="Arial" w:eastAsia="Times New Roman" w:hAnsi="Arial" w:cs="Simplified Arabic"/>
          <w:color w:val="545251"/>
          <w:sz w:val="24"/>
          <w:szCs w:val="24"/>
          <w:rtl/>
          <w:lang w:eastAsia="fr-FR"/>
        </w:rPr>
        <w:t xml:space="preserve"> </w:t>
      </w:r>
      <w:bookmarkEnd w:id="12"/>
      <w:r w:rsidRPr="00F542AB">
        <w:rPr>
          <w:rFonts w:ascii="Arial" w:eastAsia="Times New Roman" w:hAnsi="Arial" w:cs="Times New Roman" w:hint="cs"/>
          <w:color w:val="545251"/>
          <w:sz w:val="24"/>
          <w:szCs w:val="24"/>
          <w:rtl/>
          <w:lang w:eastAsia="fr-FR" w:bidi="ar-DZ"/>
        </w:rPr>
        <w:t>إحسان عباس</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تاريخ النقد الأدبي عند العرب، مرجع سابق، ص</w:t>
      </w:r>
      <w:r w:rsidRPr="00F542AB">
        <w:rPr>
          <w:rFonts w:ascii="Arial" w:eastAsia="Times New Roman" w:hAnsi="Arial" w:cs="Simplified Arabic" w:hint="cs"/>
          <w:color w:val="545251"/>
          <w:sz w:val="24"/>
          <w:szCs w:val="24"/>
          <w:rtl/>
          <w:lang w:eastAsia="fr-FR" w:bidi="ar-DZ"/>
        </w:rPr>
        <w:t>. 322.</w:t>
      </w:r>
    </w:p>
  </w:footnote>
  <w:footnote w:id="18">
    <w:p w:rsidR="00466989" w:rsidRPr="000119BD"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rPr>
          <w:rFonts w:hint="cs"/>
          <w:rtl/>
        </w:rPr>
        <w:t>)</w:t>
      </w:r>
      <w:r w:rsidRPr="00F542AB">
        <w:rPr>
          <w:rFonts w:ascii="Arial" w:eastAsia="Times New Roman" w:hAnsi="Arial" w:cs="Simplified Arabic" w:hint="cs"/>
          <w:color w:val="545251"/>
          <w:sz w:val="24"/>
          <w:szCs w:val="24"/>
          <w:rtl/>
          <w:lang w:eastAsia="fr-FR" w:bidi="ar-DZ"/>
        </w:rPr>
        <w:t> </w:t>
      </w:r>
      <w:r w:rsidRPr="00F542AB">
        <w:rPr>
          <w:rFonts w:ascii="Arial" w:eastAsia="Times New Roman" w:hAnsi="Arial" w:cs="Times New Roman" w:hint="cs"/>
          <w:color w:val="545251"/>
          <w:sz w:val="24"/>
          <w:szCs w:val="24"/>
          <w:rtl/>
          <w:lang w:eastAsia="fr-FR" w:bidi="ar-DZ"/>
        </w:rPr>
        <w:t>أبو القاسم الآمدي</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الموازنة بين شعر أبي تمام والبحتري، مصدر سابق، ج</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 ص</w:t>
      </w:r>
      <w:r w:rsidRPr="00F542AB">
        <w:rPr>
          <w:rFonts w:ascii="Arial" w:eastAsia="Times New Roman" w:hAnsi="Arial" w:cs="Simplified Arabic" w:hint="cs"/>
          <w:color w:val="545251"/>
          <w:sz w:val="24"/>
          <w:szCs w:val="24"/>
          <w:rtl/>
          <w:lang w:eastAsia="fr-FR" w:bidi="ar-DZ"/>
        </w:rPr>
        <w:t>. 4.</w:t>
      </w:r>
    </w:p>
  </w:footnote>
  <w:footnote w:id="19">
    <w:p w:rsidR="00466989" w:rsidRPr="009F3935"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14" w:name="_ftn131"/>
      <w:r w:rsidRPr="009F3935">
        <w:rPr>
          <w:rFonts w:ascii="Arial" w:eastAsia="Times New Roman" w:hAnsi="Arial" w:cs="Simplified Arabic"/>
          <w:color w:val="545251"/>
          <w:sz w:val="24"/>
          <w:szCs w:val="24"/>
          <w:rtl/>
          <w:lang w:eastAsia="fr-FR"/>
        </w:rPr>
        <w:t xml:space="preserve"> </w:t>
      </w:r>
      <w:bookmarkEnd w:id="14"/>
      <w:r w:rsidRPr="00F542AB">
        <w:rPr>
          <w:rFonts w:ascii="Arial" w:eastAsia="Times New Roman" w:hAnsi="Arial" w:cs="Times New Roman" w:hint="cs"/>
          <w:color w:val="545251"/>
          <w:sz w:val="24"/>
          <w:szCs w:val="24"/>
          <w:rtl/>
          <w:lang w:eastAsia="fr-FR" w:bidi="ar-DZ"/>
        </w:rPr>
        <w:t>إحسان عباس</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تاريخ النقد الأدبي عند العرب، ص</w:t>
      </w:r>
      <w:r w:rsidRPr="00F542AB">
        <w:rPr>
          <w:rFonts w:ascii="Arial" w:eastAsia="Times New Roman" w:hAnsi="Arial" w:cs="Simplified Arabic" w:hint="cs"/>
          <w:color w:val="545251"/>
          <w:sz w:val="24"/>
          <w:szCs w:val="24"/>
          <w:rtl/>
          <w:lang w:eastAsia="fr-FR" w:bidi="ar-DZ"/>
        </w:rPr>
        <w:t>. 322.</w:t>
      </w:r>
    </w:p>
  </w:footnote>
  <w:footnote w:id="20">
    <w:p w:rsidR="00466989" w:rsidRPr="00F542AB" w:rsidRDefault="00466989" w:rsidP="00466989">
      <w:pPr>
        <w:shd w:val="clear" w:color="auto" w:fill="FFFFFF"/>
        <w:bidi/>
        <w:spacing w:after="0"/>
        <w:jc w:val="both"/>
        <w:rPr>
          <w:rFonts w:ascii="Arial" w:eastAsia="Times New Roman" w:hAnsi="Arial" w:cs="Simplified Arabic"/>
          <w:color w:val="545251"/>
          <w:sz w:val="24"/>
          <w:szCs w:val="24"/>
          <w:rtl/>
          <w:lang w:eastAsia="fr-FR"/>
        </w:rPr>
      </w:pPr>
      <w:r>
        <w:rPr>
          <w:rStyle w:val="Appelnotedebasdep"/>
        </w:rPr>
        <w:footnoteRef/>
      </w:r>
      <w:r>
        <w:t xml:space="preserve"> </w:t>
      </w:r>
      <w:r>
        <w:rPr>
          <w:rFonts w:hint="cs"/>
          <w:rtl/>
        </w:rPr>
        <w:t>)</w:t>
      </w:r>
      <w:bookmarkStart w:id="15" w:name="_ftn132"/>
      <w:r w:rsidRPr="009F3935">
        <w:rPr>
          <w:rFonts w:ascii="Arial" w:eastAsia="Times New Roman" w:hAnsi="Arial" w:cs="Simplified Arabic"/>
          <w:color w:val="545251"/>
          <w:sz w:val="24"/>
          <w:szCs w:val="24"/>
          <w:rtl/>
          <w:lang w:eastAsia="fr-FR"/>
        </w:rPr>
        <w:t xml:space="preserve"> </w:t>
      </w:r>
      <w:bookmarkEnd w:id="15"/>
      <w:r w:rsidRPr="00F542AB">
        <w:rPr>
          <w:rFonts w:ascii="Arial" w:eastAsia="Times New Roman" w:hAnsi="Arial" w:cs="Times New Roman" w:hint="cs"/>
          <w:color w:val="545251"/>
          <w:sz w:val="24"/>
          <w:szCs w:val="24"/>
          <w:rtl/>
          <w:lang w:eastAsia="fr-FR" w:bidi="ar-DZ"/>
        </w:rPr>
        <w:t>القاضي الجرجاني</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الوساطة بين المتنبي وخصومه، تحقيق</w:t>
      </w:r>
      <w:r w:rsidRPr="00F542AB">
        <w:rPr>
          <w:rFonts w:ascii="Arial" w:eastAsia="Times New Roman" w:hAnsi="Arial" w:cs="Simplified Arabic" w:hint="cs"/>
          <w:color w:val="545251"/>
          <w:sz w:val="24"/>
          <w:szCs w:val="24"/>
          <w:rtl/>
          <w:lang w:eastAsia="fr-FR" w:bidi="ar-DZ"/>
        </w:rPr>
        <w:t xml:space="preserve">: </w:t>
      </w:r>
      <w:r w:rsidRPr="00F542AB">
        <w:rPr>
          <w:rFonts w:ascii="Arial" w:eastAsia="Times New Roman" w:hAnsi="Arial" w:cs="Times New Roman" w:hint="cs"/>
          <w:color w:val="545251"/>
          <w:sz w:val="24"/>
          <w:szCs w:val="24"/>
          <w:rtl/>
          <w:lang w:eastAsia="fr-FR" w:bidi="ar-DZ"/>
        </w:rPr>
        <w:t>محمد أبو الفضل إبرهيم وعلي محمد البجاوي، ط</w:t>
      </w:r>
      <w:r w:rsidRPr="00F542AB">
        <w:rPr>
          <w:rFonts w:ascii="Arial" w:eastAsia="Times New Roman" w:hAnsi="Arial" w:cs="Simplified Arabic" w:hint="cs"/>
          <w:color w:val="545251"/>
          <w:sz w:val="24"/>
          <w:szCs w:val="24"/>
          <w:rtl/>
          <w:lang w:eastAsia="fr-FR" w:bidi="ar-DZ"/>
        </w:rPr>
        <w:t>.1</w:t>
      </w:r>
      <w:r w:rsidRPr="00F542AB">
        <w:rPr>
          <w:rFonts w:ascii="Arial" w:eastAsia="Times New Roman" w:hAnsi="Arial" w:cs="Times New Roman" w:hint="cs"/>
          <w:color w:val="545251"/>
          <w:sz w:val="24"/>
          <w:szCs w:val="24"/>
          <w:rtl/>
          <w:lang w:eastAsia="fr-FR" w:bidi="ar-DZ"/>
        </w:rPr>
        <w:t>،</w:t>
      </w:r>
      <w:r w:rsidRPr="00F542AB">
        <w:rPr>
          <w:rFonts w:ascii="Arial" w:eastAsia="Times New Roman" w:hAnsi="Arial" w:cs="Simplified Arabic" w:hint="cs"/>
          <w:color w:val="545251"/>
          <w:sz w:val="24"/>
          <w:szCs w:val="24"/>
          <w:rtl/>
          <w:lang w:eastAsia="fr-FR" w:bidi="ar-DZ"/>
        </w:rPr>
        <w:t> 1427 </w:t>
      </w:r>
      <w:r w:rsidRPr="00F542AB">
        <w:rPr>
          <w:rFonts w:ascii="Arial" w:eastAsia="Times New Roman" w:hAnsi="Arial" w:cs="Times New Roman" w:hint="cs"/>
          <w:color w:val="545251"/>
          <w:sz w:val="24"/>
          <w:szCs w:val="24"/>
          <w:rtl/>
          <w:lang w:eastAsia="fr-FR" w:bidi="ar-DZ"/>
        </w:rPr>
        <w:t xml:space="preserve">هـ </w:t>
      </w:r>
      <w:r w:rsidRPr="00F542AB">
        <w:rPr>
          <w:rFonts w:ascii="Arial" w:eastAsia="Times New Roman" w:hAnsi="Arial" w:cs="Simplified Arabic" w:hint="cs"/>
          <w:color w:val="545251"/>
          <w:sz w:val="24"/>
          <w:szCs w:val="24"/>
          <w:rtl/>
          <w:lang w:eastAsia="fr-FR" w:bidi="ar-DZ"/>
        </w:rPr>
        <w:t>/ 2006 </w:t>
      </w:r>
      <w:r w:rsidRPr="00F542AB">
        <w:rPr>
          <w:rFonts w:ascii="Arial" w:eastAsia="Times New Roman" w:hAnsi="Arial" w:cs="Times New Roman" w:hint="cs"/>
          <w:color w:val="545251"/>
          <w:sz w:val="24"/>
          <w:szCs w:val="24"/>
          <w:rtl/>
          <w:lang w:eastAsia="fr-FR" w:bidi="ar-DZ"/>
        </w:rPr>
        <w:t>م، ص</w:t>
      </w:r>
      <w:r w:rsidRPr="00F542AB">
        <w:rPr>
          <w:rFonts w:ascii="Arial" w:eastAsia="Times New Roman" w:hAnsi="Arial" w:cs="Simplified Arabic" w:hint="cs"/>
          <w:color w:val="545251"/>
          <w:sz w:val="24"/>
          <w:szCs w:val="24"/>
          <w:rtl/>
          <w:lang w:eastAsia="fr-FR" w:bidi="ar-DZ"/>
        </w:rPr>
        <w:t>. 38.</w:t>
      </w:r>
    </w:p>
    <w:p w:rsidR="00466989" w:rsidRDefault="00466989" w:rsidP="00466989">
      <w:pPr>
        <w:pStyle w:val="Notedebasdepage"/>
        <w:bidi/>
        <w:rPr>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66989"/>
    <w:rsid w:val="003432ED"/>
    <w:rsid w:val="004669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9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669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6989"/>
    <w:rPr>
      <w:sz w:val="20"/>
      <w:szCs w:val="20"/>
    </w:rPr>
  </w:style>
  <w:style w:type="character" w:styleId="Appelnotedebasdep">
    <w:name w:val="footnote reference"/>
    <w:basedOn w:val="Policepardfaut"/>
    <w:uiPriority w:val="99"/>
    <w:semiHidden/>
    <w:unhideWhenUsed/>
    <w:rsid w:val="0046698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392_%D9%87%D9%8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7416</Characters>
  <Application>Microsoft Office Word</Application>
  <DocSecurity>0</DocSecurity>
  <Lines>61</Lines>
  <Paragraphs>17</Paragraphs>
  <ScaleCrop>false</ScaleCrop>
  <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1</cp:revision>
  <dcterms:created xsi:type="dcterms:W3CDTF">2021-12-28T14:18:00Z</dcterms:created>
  <dcterms:modified xsi:type="dcterms:W3CDTF">2021-12-28T14:19:00Z</dcterms:modified>
</cp:coreProperties>
</file>