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B3" w:rsidRPr="00D23EC0" w:rsidRDefault="00D23EC0" w:rsidP="00E73D5F">
      <w:pPr>
        <w:pStyle w:val="Default"/>
        <w:spacing w:before="240" w:after="240"/>
        <w:ind w:left="-284" w:right="-566"/>
        <w:jc w:val="center"/>
        <w:rPr>
          <w:rFonts w:ascii="Lucida Calligraphy" w:hAnsi="Lucida Calligraphy" w:cstheme="minorHAnsi"/>
          <w:b/>
          <w:bCs/>
          <w:color w:val="002060"/>
          <w:sz w:val="32"/>
          <w:szCs w:val="32"/>
        </w:rPr>
      </w:pPr>
      <w:r>
        <w:rPr>
          <w:rFonts w:ascii="Lucida Calligraphy" w:hAnsi="Lucida Calligraphy" w:cstheme="minorHAnsi"/>
          <w:b/>
          <w:bCs/>
          <w:color w:val="auto"/>
          <w:sz w:val="32"/>
          <w:szCs w:val="32"/>
        </w:rPr>
        <w:t xml:space="preserve">TD </w:t>
      </w:r>
      <w:proofErr w:type="gramStart"/>
      <w:r>
        <w:rPr>
          <w:rFonts w:ascii="Lucida Calligraphy" w:hAnsi="Lucida Calligraphy" w:cstheme="minorHAnsi"/>
          <w:b/>
          <w:bCs/>
          <w:color w:val="auto"/>
          <w:sz w:val="32"/>
          <w:szCs w:val="32"/>
        </w:rPr>
        <w:t>04:</w:t>
      </w:r>
      <w:proofErr w:type="gramEnd"/>
      <w:r>
        <w:rPr>
          <w:rFonts w:ascii="Lucida Calligraphy" w:hAnsi="Lucida Calligraphy" w:cstheme="minorHAnsi"/>
          <w:b/>
          <w:bCs/>
          <w:color w:val="auto"/>
          <w:sz w:val="32"/>
          <w:szCs w:val="32"/>
        </w:rPr>
        <w:t xml:space="preserve"> </w:t>
      </w:r>
      <w:r w:rsidR="000133B3" w:rsidRPr="00D23EC0">
        <w:rPr>
          <w:rFonts w:ascii="Lucida Calligraphy" w:hAnsi="Lucida Calligraphy" w:cstheme="minorHAnsi"/>
          <w:b/>
          <w:bCs/>
          <w:color w:val="002060"/>
          <w:sz w:val="32"/>
          <w:szCs w:val="32"/>
        </w:rPr>
        <w:t>Méthode d’analyses biochimiques et physicochimiques</w:t>
      </w:r>
    </w:p>
    <w:p w:rsidR="000133B3" w:rsidRPr="000133B3" w:rsidRDefault="000133B3" w:rsidP="00E73D5F">
      <w:pPr>
        <w:pStyle w:val="Default"/>
        <w:ind w:left="-284" w:right="-566"/>
        <w:rPr>
          <w:rFonts w:asciiTheme="minorHAnsi" w:hAnsiTheme="minorHAnsi" w:cstheme="minorHAnsi"/>
          <w:b/>
          <w:bCs/>
          <w:i/>
          <w:iCs/>
          <w:color w:val="auto"/>
          <w:sz w:val="32"/>
          <w:szCs w:val="32"/>
        </w:rPr>
      </w:pPr>
    </w:p>
    <w:p w:rsidR="00D23EC0" w:rsidRDefault="00D23EC0" w:rsidP="00E73D5F">
      <w:pPr>
        <w:widowControl/>
        <w:spacing w:line="360" w:lineRule="auto"/>
        <w:ind w:left="-284" w:right="-566"/>
        <w:jc w:val="both"/>
        <w:rPr>
          <w:rFonts w:asciiTheme="minorHAnsi" w:eastAsiaTheme="minorHAnsi" w:hAnsiTheme="minorHAnsi" w:cstheme="minorHAnsi"/>
          <w:color w:val="000000"/>
          <w:lang w:eastAsia="en-US"/>
        </w:rPr>
      </w:pPr>
    </w:p>
    <w:p w:rsidR="00D23EC0" w:rsidRPr="00D23EC0" w:rsidRDefault="00D23EC0" w:rsidP="00E73D5F">
      <w:pPr>
        <w:pStyle w:val="Paragraphedeliste"/>
        <w:widowControl/>
        <w:numPr>
          <w:ilvl w:val="0"/>
          <w:numId w:val="15"/>
        </w:numPr>
        <w:spacing w:line="360" w:lineRule="auto"/>
        <w:ind w:left="-284" w:right="-566"/>
        <w:jc w:val="both"/>
        <w:rPr>
          <w:rFonts w:asciiTheme="minorHAnsi" w:eastAsiaTheme="minorHAnsi" w:hAnsiTheme="minorHAnsi" w:cstheme="minorHAnsi"/>
          <w:b/>
          <w:bCs/>
          <w:color w:val="000000"/>
          <w:sz w:val="28"/>
          <w:szCs w:val="28"/>
          <w:u w:val="single"/>
          <w:lang w:eastAsia="en-US"/>
        </w:rPr>
      </w:pPr>
      <w:r w:rsidRPr="00D23EC0">
        <w:rPr>
          <w:rFonts w:asciiTheme="minorHAnsi" w:eastAsiaTheme="minorHAnsi" w:hAnsiTheme="minorHAnsi" w:cstheme="minorHAnsi"/>
          <w:b/>
          <w:bCs/>
          <w:color w:val="000000"/>
          <w:sz w:val="28"/>
          <w:szCs w:val="28"/>
          <w:u w:val="single"/>
          <w:lang w:eastAsia="en-US"/>
        </w:rPr>
        <w:t>Introduction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Dans les laboratoires d’industries alimentaires, il est parfois nécessaire, pour diverses raisons, de faire l’analyse de certains de ces constituants alimentaires. </w:t>
      </w:r>
      <w:r w:rsidR="00E73D5F">
        <w:rPr>
          <w:rFonts w:asciiTheme="minorHAnsi" w:eastAsiaTheme="minorHAnsi" w:hAnsiTheme="minorHAnsi" w:cstheme="minorHAnsi"/>
          <w:color w:val="000000"/>
          <w:lang w:eastAsia="en-US"/>
        </w:rPr>
        <w:t xml:space="preserve">Parmi les </w:t>
      </w:r>
      <w:r w:rsidRPr="00D23EC0">
        <w:rPr>
          <w:rFonts w:asciiTheme="minorHAnsi" w:eastAsiaTheme="minorHAnsi" w:hAnsiTheme="minorHAnsi" w:cstheme="minorHAnsi"/>
          <w:color w:val="000000"/>
          <w:lang w:eastAsia="en-US"/>
        </w:rPr>
        <w:t xml:space="preserve">analyses physicochimiques de base, </w:t>
      </w:r>
      <w:r w:rsidR="00E73D5F">
        <w:rPr>
          <w:rFonts w:asciiTheme="minorHAnsi" w:eastAsiaTheme="minorHAnsi" w:hAnsiTheme="minorHAnsi" w:cstheme="minorHAnsi"/>
          <w:color w:val="000000"/>
          <w:lang w:eastAsia="en-US"/>
        </w:rPr>
        <w:t xml:space="preserve">il y </w:t>
      </w:r>
      <w:proofErr w:type="gramStart"/>
      <w:r w:rsidR="00E73D5F">
        <w:rPr>
          <w:rFonts w:asciiTheme="minorHAnsi" w:eastAsiaTheme="minorHAnsi" w:hAnsiTheme="minorHAnsi" w:cstheme="minorHAnsi"/>
          <w:color w:val="000000"/>
          <w:lang w:eastAsia="en-US"/>
        </w:rPr>
        <w:t>a</w:t>
      </w:r>
      <w:r w:rsidRPr="00D23EC0">
        <w:rPr>
          <w:rFonts w:asciiTheme="minorHAnsi" w:eastAsiaTheme="minorHAnsi" w:hAnsiTheme="minorHAnsi" w:cstheme="minorHAnsi"/>
          <w:color w:val="000000"/>
          <w:lang w:eastAsia="en-US"/>
        </w:rPr>
        <w:t>:</w:t>
      </w:r>
      <w:proofErr w:type="gramEnd"/>
      <w:r w:rsidRPr="00D23EC0">
        <w:rPr>
          <w:rFonts w:asciiTheme="minorHAnsi" w:eastAsiaTheme="minorHAnsi" w:hAnsiTheme="minorHAnsi" w:cstheme="minorHAnsi"/>
          <w:color w:val="000000"/>
          <w:lang w:eastAsia="en-US"/>
        </w:rPr>
        <w:t xml:space="preserve"> </w:t>
      </w:r>
    </w:p>
    <w:p w:rsidR="004A1D5D" w:rsidRPr="00D23EC0" w:rsidRDefault="000133B3"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La teneur en eau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 teneur en solides totaux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 teneur en protéines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 teneur en lipides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 teneur en glucides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 teneur en cendres </w:t>
      </w:r>
    </w:p>
    <w:p w:rsidR="004A1D5D" w:rsidRPr="00D23EC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Pr="00D23EC0">
        <w:rPr>
          <w:rFonts w:asciiTheme="minorHAnsi" w:eastAsiaTheme="minorHAnsi" w:hAnsiTheme="minorHAnsi" w:cstheme="minorHAnsi"/>
          <w:color w:val="000000"/>
          <w:lang w:eastAsia="en-US"/>
        </w:rPr>
        <w:t xml:space="preserve">’acidité totale </w:t>
      </w:r>
      <w:proofErr w:type="spellStart"/>
      <w:r w:rsidRPr="00D23EC0">
        <w:rPr>
          <w:rFonts w:asciiTheme="minorHAnsi" w:eastAsiaTheme="minorHAnsi" w:hAnsiTheme="minorHAnsi" w:cstheme="minorHAnsi"/>
          <w:color w:val="000000"/>
          <w:lang w:eastAsia="en-US"/>
        </w:rPr>
        <w:t>titrable</w:t>
      </w:r>
      <w:proofErr w:type="spellEnd"/>
      <w:r w:rsidRPr="00D23EC0">
        <w:rPr>
          <w:rFonts w:asciiTheme="minorHAnsi" w:eastAsiaTheme="minorHAnsi" w:hAnsiTheme="minorHAnsi" w:cstheme="minorHAnsi"/>
          <w:color w:val="000000"/>
          <w:lang w:eastAsia="en-US"/>
        </w:rPr>
        <w:t xml:space="preserve"> </w:t>
      </w:r>
    </w:p>
    <w:p w:rsidR="00DC5264" w:rsidRPr="001449E0" w:rsidRDefault="004A1D5D" w:rsidP="00E73D5F">
      <w:pPr>
        <w:widowControl/>
        <w:spacing w:line="360" w:lineRule="auto"/>
        <w:ind w:left="-284" w:right="-566"/>
        <w:jc w:val="both"/>
        <w:rPr>
          <w:rFonts w:asciiTheme="minorHAnsi" w:eastAsiaTheme="minorHAnsi" w:hAnsiTheme="minorHAnsi" w:cstheme="minorHAnsi"/>
          <w:color w:val="000000"/>
          <w:lang w:eastAsia="en-US"/>
        </w:rPr>
      </w:pPr>
      <w:r w:rsidRPr="00D23EC0">
        <w:rPr>
          <w:rFonts w:asciiTheme="minorHAnsi" w:eastAsiaTheme="minorHAnsi" w:hAnsiTheme="minorHAnsi" w:cstheme="minorHAnsi"/>
          <w:color w:val="000000"/>
          <w:lang w:eastAsia="en-US"/>
        </w:rPr>
        <w:t xml:space="preserve">- </w:t>
      </w:r>
      <w:r w:rsidR="000133B3" w:rsidRPr="00D23EC0">
        <w:rPr>
          <w:rFonts w:asciiTheme="minorHAnsi" w:eastAsiaTheme="minorHAnsi" w:hAnsiTheme="minorHAnsi" w:cstheme="minorHAnsi"/>
          <w:color w:val="000000"/>
          <w:lang w:eastAsia="en-US"/>
        </w:rPr>
        <w:t>L</w:t>
      </w:r>
      <w:r w:rsidR="001449E0">
        <w:rPr>
          <w:rFonts w:asciiTheme="minorHAnsi" w:eastAsiaTheme="minorHAnsi" w:hAnsiTheme="minorHAnsi" w:cstheme="minorHAnsi"/>
          <w:color w:val="000000"/>
          <w:lang w:eastAsia="en-US"/>
        </w:rPr>
        <w:t xml:space="preserve">’acidité volatile </w:t>
      </w:r>
      <w:r w:rsidR="002F374F" w:rsidRPr="000133B3">
        <w:rPr>
          <w:rFonts w:asciiTheme="minorHAnsi" w:eastAsiaTheme="minorHAnsi" w:hAnsiTheme="minorHAnsi" w:cstheme="minorHAnsi"/>
          <w:i/>
          <w:iCs/>
          <w:color w:val="000000"/>
          <w:lang w:eastAsia="en-US"/>
        </w:rPr>
        <w:t xml:space="preserve"> </w:t>
      </w:r>
    </w:p>
    <w:p w:rsidR="002F374F" w:rsidRPr="000133B3" w:rsidRDefault="00D23EC0" w:rsidP="00E73D5F">
      <w:pPr>
        <w:widowControl/>
        <w:spacing w:before="240" w:line="360" w:lineRule="auto"/>
        <w:ind w:left="-284" w:right="-566"/>
        <w:jc w:val="both"/>
        <w:rPr>
          <w:rFonts w:asciiTheme="minorHAnsi" w:eastAsiaTheme="minorHAnsi" w:hAnsiTheme="minorHAnsi" w:cstheme="minorHAnsi"/>
          <w:i/>
          <w:iCs/>
          <w:color w:val="000000"/>
          <w:lang w:eastAsia="en-US"/>
        </w:rPr>
      </w:pPr>
      <w:r w:rsidRPr="00D23EC0">
        <w:rPr>
          <w:rFonts w:asciiTheme="minorHAnsi" w:eastAsiaTheme="minorHAnsi" w:hAnsiTheme="minorHAnsi" w:cstheme="minorHAnsi"/>
          <w:b/>
          <w:bCs/>
          <w:color w:val="000000"/>
          <w:sz w:val="28"/>
          <w:szCs w:val="28"/>
          <w:u w:val="single"/>
          <w:lang w:eastAsia="en-US"/>
        </w:rPr>
        <w:t>II</w:t>
      </w:r>
      <w:proofErr w:type="gramStart"/>
      <w:r w:rsidRPr="00D23EC0">
        <w:rPr>
          <w:rFonts w:asciiTheme="minorHAnsi" w:eastAsiaTheme="minorHAnsi" w:hAnsiTheme="minorHAnsi" w:cstheme="minorHAnsi"/>
          <w:b/>
          <w:bCs/>
          <w:color w:val="000000"/>
          <w:sz w:val="28"/>
          <w:szCs w:val="28"/>
          <w:u w:val="single"/>
          <w:lang w:eastAsia="en-US"/>
        </w:rPr>
        <w:t xml:space="preserve">. </w:t>
      </w:r>
      <w:r w:rsidR="002F374F" w:rsidRPr="000133B3">
        <w:rPr>
          <w:rFonts w:asciiTheme="minorHAnsi" w:eastAsiaTheme="minorHAnsi" w:hAnsiTheme="minorHAnsi" w:cstheme="minorHAnsi"/>
          <w:b/>
          <w:bCs/>
          <w:i/>
          <w:iCs/>
          <w:color w:val="000000"/>
          <w:lang w:eastAsia="en-US"/>
        </w:rPr>
        <w:t xml:space="preserve"> </w:t>
      </w:r>
      <w:r w:rsidR="002F374F" w:rsidRPr="00D23EC0">
        <w:rPr>
          <w:rFonts w:asciiTheme="minorHAnsi" w:eastAsiaTheme="minorHAnsi" w:hAnsiTheme="minorHAnsi" w:cstheme="minorHAnsi"/>
          <w:b/>
          <w:bCs/>
          <w:color w:val="000000"/>
          <w:sz w:val="28"/>
          <w:szCs w:val="28"/>
          <w:u w:val="single"/>
          <w:lang w:eastAsia="en-US"/>
        </w:rPr>
        <w:t>Méthodes</w:t>
      </w:r>
      <w:proofErr w:type="gramEnd"/>
      <w:r w:rsidR="002F374F" w:rsidRPr="00D23EC0">
        <w:rPr>
          <w:rFonts w:asciiTheme="minorHAnsi" w:eastAsiaTheme="minorHAnsi" w:hAnsiTheme="minorHAnsi" w:cstheme="minorHAnsi"/>
          <w:b/>
          <w:bCs/>
          <w:color w:val="000000"/>
          <w:sz w:val="28"/>
          <w:szCs w:val="28"/>
          <w:u w:val="single"/>
          <w:lang w:eastAsia="en-US"/>
        </w:rPr>
        <w:t xml:space="preserve"> de dosage de l’eau et des solides totaux</w:t>
      </w:r>
      <w:r w:rsidR="002F374F" w:rsidRPr="000133B3">
        <w:rPr>
          <w:rFonts w:asciiTheme="minorHAnsi" w:eastAsiaTheme="minorHAnsi" w:hAnsiTheme="minorHAnsi" w:cstheme="minorHAnsi"/>
          <w:b/>
          <w:bCs/>
          <w:i/>
          <w:iCs/>
          <w:color w:val="000000"/>
          <w:lang w:eastAsia="en-US"/>
        </w:rPr>
        <w:t xml:space="preserve"> </w:t>
      </w:r>
    </w:p>
    <w:p w:rsidR="002F374F" w:rsidRPr="000133B3" w:rsidRDefault="002F374F" w:rsidP="00E73D5F">
      <w:pPr>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Les solides totaux sont définis comme étant le résidu d’un aliment restant après élimination de l’eau, dans des conditions expérimentales données. À l’exception des aliments contenant des constituants volatils (alcool, huile essentielle, </w:t>
      </w:r>
      <w:proofErr w:type="spellStart"/>
      <w:r w:rsidRPr="000133B3">
        <w:rPr>
          <w:rFonts w:asciiTheme="minorHAnsi" w:eastAsiaTheme="minorHAnsi" w:hAnsiTheme="minorHAnsi" w:cstheme="minorHAnsi"/>
          <w:i/>
          <w:iCs/>
          <w:color w:val="000000"/>
          <w:lang w:eastAsia="en-US"/>
        </w:rPr>
        <w:t>etc</w:t>
      </w:r>
      <w:proofErr w:type="spellEnd"/>
      <w:r w:rsidRPr="000133B3">
        <w:rPr>
          <w:rFonts w:asciiTheme="minorHAnsi" w:eastAsiaTheme="minorHAnsi" w:hAnsiTheme="minorHAnsi" w:cstheme="minorHAnsi"/>
          <w:i/>
          <w:iCs/>
          <w:color w:val="000000"/>
          <w:lang w:eastAsia="en-US"/>
        </w:rPr>
        <w:t xml:space="preserve"> ...), la somme</w:t>
      </w:r>
      <w:r w:rsidRPr="000133B3">
        <w:rPr>
          <w:rFonts w:asciiTheme="minorHAnsi" w:hAnsiTheme="minorHAnsi" w:cstheme="minorHAnsi"/>
          <w:i/>
          <w:iCs/>
          <w:color w:val="000000"/>
        </w:rPr>
        <w:t xml:space="preserve"> </w:t>
      </w:r>
      <w:r w:rsidRPr="000133B3">
        <w:rPr>
          <w:rFonts w:asciiTheme="minorHAnsi" w:eastAsiaTheme="minorHAnsi" w:hAnsiTheme="minorHAnsi" w:cstheme="minorHAnsi"/>
          <w:i/>
          <w:iCs/>
          <w:color w:val="000000"/>
          <w:lang w:eastAsia="en-US"/>
        </w:rPr>
        <w:t xml:space="preserve">de la teneur en eau et en solides totaux représente la totalité de l’aliment. On rapporte la teneur en eau ou en solides totaux selon le type d’aliment ou les normes de composition s’appliquant à l’aliment sous analyse. </w:t>
      </w:r>
    </w:p>
    <w:p w:rsidR="002F374F" w:rsidRPr="00E73D5F" w:rsidRDefault="002F374F" w:rsidP="00E73D5F">
      <w:pPr>
        <w:widowControl/>
        <w:spacing w:line="360" w:lineRule="auto"/>
        <w:ind w:left="-284" w:right="-566"/>
        <w:jc w:val="center"/>
        <w:rPr>
          <w:rFonts w:asciiTheme="minorHAnsi" w:eastAsiaTheme="minorHAnsi" w:hAnsiTheme="minorHAnsi" w:cstheme="minorHAnsi"/>
          <w:b/>
          <w:bCs/>
          <w:i/>
          <w:iCs/>
          <w:color w:val="000000"/>
          <w:lang w:eastAsia="en-US"/>
        </w:rPr>
      </w:pPr>
      <w:r w:rsidRPr="00E73D5F">
        <w:rPr>
          <w:rFonts w:asciiTheme="minorHAnsi" w:eastAsiaTheme="minorHAnsi" w:hAnsiTheme="minorHAnsi" w:cstheme="minorHAnsi"/>
          <w:b/>
          <w:bCs/>
          <w:i/>
          <w:iCs/>
          <w:color w:val="000000"/>
          <w:highlight w:val="lightGray"/>
          <w:lang w:eastAsia="en-US"/>
        </w:rPr>
        <w:t>% H</w:t>
      </w:r>
      <w:r w:rsidRPr="00E73D5F">
        <w:rPr>
          <w:rFonts w:asciiTheme="minorHAnsi" w:eastAsiaTheme="minorHAnsi" w:hAnsiTheme="minorHAnsi" w:cstheme="minorHAnsi"/>
          <w:b/>
          <w:bCs/>
          <w:i/>
          <w:iCs/>
          <w:color w:val="000000"/>
          <w:position w:val="-10"/>
          <w:highlight w:val="lightGray"/>
          <w:vertAlign w:val="subscript"/>
          <w:lang w:eastAsia="en-US"/>
        </w:rPr>
        <w:t>2</w:t>
      </w:r>
      <w:r w:rsidRPr="00E73D5F">
        <w:rPr>
          <w:rFonts w:asciiTheme="minorHAnsi" w:eastAsiaTheme="minorHAnsi" w:hAnsiTheme="minorHAnsi" w:cstheme="minorHAnsi"/>
          <w:b/>
          <w:bCs/>
          <w:i/>
          <w:iCs/>
          <w:color w:val="000000"/>
          <w:highlight w:val="lightGray"/>
          <w:lang w:eastAsia="en-US"/>
        </w:rPr>
        <w:t>O + % S.T. = 100%</w:t>
      </w:r>
    </w:p>
    <w:p w:rsidR="002F374F" w:rsidRPr="000133B3" w:rsidRDefault="002F374F"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Presque tous les aliments contiennent deux types </w:t>
      </w:r>
      <w:proofErr w:type="gramStart"/>
      <w:r w:rsidRPr="000133B3">
        <w:rPr>
          <w:rFonts w:asciiTheme="minorHAnsi" w:eastAsiaTheme="minorHAnsi" w:hAnsiTheme="minorHAnsi" w:cstheme="minorHAnsi"/>
          <w:i/>
          <w:iCs/>
          <w:color w:val="000000"/>
          <w:lang w:eastAsia="en-US"/>
        </w:rPr>
        <w:t>d’eau:</w:t>
      </w:r>
      <w:proofErr w:type="gramEnd"/>
      <w:r w:rsidRPr="000133B3">
        <w:rPr>
          <w:rFonts w:asciiTheme="minorHAnsi" w:eastAsiaTheme="minorHAnsi" w:hAnsiTheme="minorHAnsi" w:cstheme="minorHAnsi"/>
          <w:i/>
          <w:iCs/>
          <w:color w:val="000000"/>
          <w:lang w:eastAsia="en-US"/>
        </w:rPr>
        <w:t xml:space="preserve"> l’eau </w:t>
      </w:r>
      <w:r w:rsidRPr="000133B3">
        <w:rPr>
          <w:rFonts w:asciiTheme="minorHAnsi" w:eastAsiaTheme="minorHAnsi" w:hAnsiTheme="minorHAnsi" w:cstheme="minorHAnsi"/>
          <w:i/>
          <w:iCs/>
          <w:color w:val="000000"/>
          <w:u w:val="single"/>
          <w:lang w:eastAsia="en-US"/>
        </w:rPr>
        <w:t>libre</w:t>
      </w:r>
      <w:r w:rsidRPr="000133B3">
        <w:rPr>
          <w:rFonts w:asciiTheme="minorHAnsi" w:eastAsiaTheme="minorHAnsi" w:hAnsiTheme="minorHAnsi" w:cstheme="minorHAnsi"/>
          <w:i/>
          <w:iCs/>
          <w:color w:val="000000"/>
          <w:lang w:eastAsia="en-US"/>
        </w:rPr>
        <w:t xml:space="preserve">, facilement évaporable, et l’eau </w:t>
      </w:r>
      <w:r w:rsidRPr="000133B3">
        <w:rPr>
          <w:rFonts w:asciiTheme="minorHAnsi" w:eastAsiaTheme="minorHAnsi" w:hAnsiTheme="minorHAnsi" w:cstheme="minorHAnsi"/>
          <w:i/>
          <w:iCs/>
          <w:color w:val="000000"/>
          <w:u w:val="single"/>
          <w:lang w:eastAsia="en-US"/>
        </w:rPr>
        <w:t>liée</w:t>
      </w:r>
      <w:r w:rsidRPr="000133B3">
        <w:rPr>
          <w:rFonts w:asciiTheme="minorHAnsi" w:eastAsiaTheme="minorHAnsi" w:hAnsiTheme="minorHAnsi" w:cstheme="minorHAnsi"/>
          <w:i/>
          <w:iCs/>
          <w:color w:val="000000"/>
          <w:lang w:eastAsia="en-US"/>
        </w:rPr>
        <w:t xml:space="preserve"> par des ponts hydrogène aux macromolécules, tels les polysaccharides et les protéines. Cette eau est beaucoup plus difficile à évaporer et son élimination par la chaleur dépend des cond</w:t>
      </w:r>
      <w:r w:rsidR="00D23EC0">
        <w:rPr>
          <w:rFonts w:asciiTheme="minorHAnsi" w:eastAsiaTheme="minorHAnsi" w:hAnsiTheme="minorHAnsi" w:cstheme="minorHAnsi"/>
          <w:i/>
          <w:iCs/>
          <w:color w:val="000000"/>
          <w:lang w:eastAsia="en-US"/>
        </w:rPr>
        <w:t xml:space="preserve">itions expérimentales utilisées </w:t>
      </w:r>
      <w:proofErr w:type="gramStart"/>
      <w:r w:rsidR="00D23EC0">
        <w:rPr>
          <w:rFonts w:asciiTheme="minorHAnsi" w:eastAsiaTheme="minorHAnsi" w:hAnsiTheme="minorHAnsi" w:cstheme="minorHAnsi"/>
          <w:i/>
          <w:iCs/>
          <w:color w:val="000000"/>
          <w:lang w:eastAsia="en-US"/>
        </w:rPr>
        <w:t>(</w:t>
      </w:r>
      <w:r w:rsidR="00D23EC0">
        <w:rPr>
          <w:rFonts w:asciiTheme="minorHAnsi" w:eastAsiaTheme="minorHAnsi" w:hAnsiTheme="minorHAnsi" w:cstheme="minorHAnsi"/>
          <w:b/>
          <w:bCs/>
          <w:i/>
          <w:iCs/>
          <w:color w:val="000000"/>
          <w:lang w:eastAsia="en-US"/>
        </w:rPr>
        <w:t xml:space="preserve"> Méthode</w:t>
      </w:r>
      <w:proofErr w:type="gramEnd"/>
      <w:r w:rsidR="00D23EC0">
        <w:rPr>
          <w:rFonts w:asciiTheme="minorHAnsi" w:eastAsiaTheme="minorHAnsi" w:hAnsiTheme="minorHAnsi" w:cstheme="minorHAnsi"/>
          <w:b/>
          <w:bCs/>
          <w:i/>
          <w:iCs/>
          <w:color w:val="000000"/>
          <w:lang w:eastAsia="en-US"/>
        </w:rPr>
        <w:t xml:space="preserve"> thermogravimétrique, </w:t>
      </w:r>
      <w:r w:rsidRPr="000133B3">
        <w:rPr>
          <w:rFonts w:asciiTheme="minorHAnsi" w:eastAsiaTheme="minorHAnsi" w:hAnsiTheme="minorHAnsi" w:cstheme="minorHAnsi"/>
          <w:b/>
          <w:bCs/>
          <w:i/>
          <w:iCs/>
          <w:color w:val="000000"/>
          <w:lang w:eastAsia="en-US"/>
        </w:rPr>
        <w:t xml:space="preserve">Méthode </w:t>
      </w:r>
      <w:proofErr w:type="spellStart"/>
      <w:r w:rsidRPr="000133B3">
        <w:rPr>
          <w:rFonts w:asciiTheme="minorHAnsi" w:eastAsiaTheme="minorHAnsi" w:hAnsiTheme="minorHAnsi" w:cstheme="minorHAnsi"/>
          <w:b/>
          <w:bCs/>
          <w:i/>
          <w:iCs/>
          <w:color w:val="000000"/>
          <w:lang w:eastAsia="en-US"/>
        </w:rPr>
        <w:t>thermovolumétrique</w:t>
      </w:r>
      <w:proofErr w:type="spellEnd"/>
      <w:r w:rsidR="00D23EC0">
        <w:rPr>
          <w:rFonts w:asciiTheme="minorHAnsi" w:eastAsiaTheme="minorHAnsi" w:hAnsiTheme="minorHAnsi" w:cstheme="minorHAnsi"/>
          <w:b/>
          <w:bCs/>
          <w:i/>
          <w:iCs/>
          <w:color w:val="000000"/>
          <w:lang w:eastAsia="en-US"/>
        </w:rPr>
        <w:t>)</w:t>
      </w:r>
      <w:r w:rsidRPr="000133B3">
        <w:rPr>
          <w:rFonts w:asciiTheme="minorHAnsi" w:eastAsiaTheme="minorHAnsi" w:hAnsiTheme="minorHAnsi" w:cstheme="minorHAnsi"/>
          <w:b/>
          <w:bCs/>
          <w:i/>
          <w:iCs/>
          <w:color w:val="000000"/>
          <w:lang w:eastAsia="en-US"/>
        </w:rPr>
        <w:t xml:space="preserve"> </w:t>
      </w:r>
    </w:p>
    <w:p w:rsidR="002F374F" w:rsidRPr="000133B3" w:rsidRDefault="002F374F" w:rsidP="00E73D5F">
      <w:pPr>
        <w:widowControl/>
        <w:spacing w:before="240"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2</w:t>
      </w:r>
      <w:r w:rsidRPr="00D23EC0">
        <w:rPr>
          <w:rFonts w:asciiTheme="minorHAnsi" w:eastAsiaTheme="minorHAnsi" w:hAnsiTheme="minorHAnsi" w:cstheme="minorHAnsi"/>
          <w:b/>
          <w:bCs/>
          <w:i/>
          <w:iCs/>
          <w:color w:val="000000"/>
          <w:sz w:val="28"/>
          <w:szCs w:val="28"/>
          <w:lang w:eastAsia="en-US"/>
        </w:rPr>
        <w:t>. Méthode de dosage des cendres</w:t>
      </w:r>
      <w:r w:rsidRPr="000133B3">
        <w:rPr>
          <w:rFonts w:asciiTheme="minorHAnsi" w:eastAsiaTheme="minorHAnsi" w:hAnsiTheme="minorHAnsi" w:cstheme="minorHAnsi"/>
          <w:b/>
          <w:bCs/>
          <w:i/>
          <w:iCs/>
          <w:color w:val="000000"/>
          <w:lang w:eastAsia="en-US"/>
        </w:rPr>
        <w:t xml:space="preserve"> </w:t>
      </w:r>
    </w:p>
    <w:p w:rsidR="002F374F" w:rsidRPr="000133B3" w:rsidRDefault="002F374F"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xml:space="preserve">2.1. Cendres totales </w:t>
      </w:r>
    </w:p>
    <w:p w:rsidR="00DC5264" w:rsidRPr="00E73D5F" w:rsidRDefault="002F374F"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lastRenderedPageBreak/>
        <w:t>Les cendres totales sont le résidu de composés minéraux qui reste après l’incinération d’un échantillon contenant des substances organiques d’origine animale, végétale ou synthétique. Les cendres représentent environ 1 à 5% de la masse d’un aliment sur une base humide, comme le</w:t>
      </w:r>
      <w:r w:rsidR="00E73D5F">
        <w:rPr>
          <w:rFonts w:asciiTheme="minorHAnsi" w:eastAsiaTheme="minorHAnsi" w:hAnsiTheme="minorHAnsi" w:cstheme="minorHAnsi"/>
          <w:i/>
          <w:iCs/>
          <w:color w:val="000000"/>
          <w:lang w:eastAsia="en-US"/>
        </w:rPr>
        <w:t xml:space="preserve"> montre le tableau ci-dessous. </w:t>
      </w:r>
    </w:p>
    <w:p w:rsidR="002F374F" w:rsidRPr="000133B3" w:rsidRDefault="008F4A41" w:rsidP="00E73D5F">
      <w:pPr>
        <w:widowControl/>
        <w:spacing w:line="360" w:lineRule="auto"/>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Teneur en cendres de quelques aliments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1883"/>
        <w:gridCol w:w="1868"/>
      </w:tblGrid>
      <w:tr w:rsidR="002F374F" w:rsidRPr="000133B3" w:rsidTr="002F374F">
        <w:trPr>
          <w:trHeight w:val="435"/>
          <w:jc w:val="center"/>
        </w:trPr>
        <w:tc>
          <w:tcPr>
            <w:tcW w:w="1439" w:type="dxa"/>
            <w:shd w:val="clear" w:color="auto" w:fill="F2F2F2" w:themeFill="background1" w:themeFillShade="F2"/>
          </w:tcPr>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p>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Aliment </w:t>
            </w:r>
          </w:p>
        </w:tc>
        <w:tc>
          <w:tcPr>
            <w:tcW w:w="1883" w:type="dxa"/>
            <w:shd w:val="clear" w:color="auto" w:fill="F2F2F2" w:themeFill="background1" w:themeFillShade="F2"/>
          </w:tcPr>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 cendres </w:t>
            </w:r>
          </w:p>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(base humide) </w:t>
            </w:r>
          </w:p>
        </w:tc>
        <w:tc>
          <w:tcPr>
            <w:tcW w:w="1868" w:type="dxa"/>
            <w:shd w:val="clear" w:color="auto" w:fill="F2F2F2" w:themeFill="background1" w:themeFillShade="F2"/>
          </w:tcPr>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 cendres </w:t>
            </w:r>
          </w:p>
          <w:p w:rsidR="002F374F" w:rsidRPr="000133B3" w:rsidRDefault="002F374F" w:rsidP="00E73D5F">
            <w:pPr>
              <w:widowControl/>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(base sèche)</w:t>
            </w:r>
          </w:p>
        </w:tc>
      </w:tr>
      <w:tr w:rsidR="002F374F" w:rsidRPr="000133B3" w:rsidTr="002F374F">
        <w:trPr>
          <w:trHeight w:val="1401"/>
          <w:jc w:val="center"/>
        </w:trPr>
        <w:tc>
          <w:tcPr>
            <w:tcW w:w="1439" w:type="dxa"/>
          </w:tcPr>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Pain</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Lait</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Saumon</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Pomme</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Bacon</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proofErr w:type="spellStart"/>
            <w:r w:rsidRPr="000133B3">
              <w:rPr>
                <w:rFonts w:asciiTheme="minorHAnsi" w:eastAsiaTheme="minorHAnsi" w:hAnsiTheme="minorHAnsi" w:cstheme="minorHAnsi"/>
                <w:i/>
                <w:iCs/>
                <w:color w:val="000000"/>
                <w:lang w:eastAsia="en-US"/>
              </w:rPr>
              <w:t>Boeuf</w:t>
            </w:r>
            <w:proofErr w:type="spellEnd"/>
            <w:r w:rsidRPr="000133B3">
              <w:rPr>
                <w:rFonts w:asciiTheme="minorHAnsi" w:eastAsiaTheme="minorHAnsi" w:hAnsiTheme="minorHAnsi" w:cstheme="minorHAnsi"/>
                <w:i/>
                <w:iCs/>
                <w:color w:val="000000"/>
                <w:lang w:eastAsia="en-US"/>
              </w:rPr>
              <w:t xml:space="preserve"> frais</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Poulet cru</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Asperge</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Cresson</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Épinard</w:t>
            </w:r>
          </w:p>
        </w:tc>
        <w:tc>
          <w:tcPr>
            <w:tcW w:w="1883" w:type="dxa"/>
          </w:tcPr>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1,7-2,6</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0,7</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1,0</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0,3</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2,7-6,2</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0,8-1,0</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1,0-1,2</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0,7</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1,1-1,9</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1,5</w:t>
            </w:r>
          </w:p>
        </w:tc>
        <w:tc>
          <w:tcPr>
            <w:tcW w:w="1868" w:type="dxa"/>
          </w:tcPr>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2,6-4,7</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5,4</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2,7</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1,9</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3,2-14,1</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1,9-3,2</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3,0-4,7</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10,0</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14,9-17,2</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20,6</w:t>
            </w:r>
          </w:p>
        </w:tc>
      </w:tr>
    </w:tbl>
    <w:p w:rsidR="00B753A0" w:rsidRPr="000133B3" w:rsidRDefault="00B753A0" w:rsidP="00E73D5F">
      <w:pPr>
        <w:widowControl/>
        <w:spacing w:line="360" w:lineRule="auto"/>
        <w:ind w:left="-284" w:right="-566"/>
        <w:jc w:val="both"/>
        <w:rPr>
          <w:rFonts w:asciiTheme="minorHAnsi" w:eastAsiaTheme="minorHAnsi" w:hAnsiTheme="minorHAnsi" w:cstheme="minorHAnsi"/>
          <w:i/>
          <w:iCs/>
          <w:color w:val="000000"/>
          <w:u w:val="single"/>
          <w:lang w:eastAsia="en-US"/>
        </w:rPr>
      </w:pPr>
    </w:p>
    <w:p w:rsidR="002F374F" w:rsidRPr="000133B3" w:rsidRDefault="002F374F"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u w:val="single"/>
          <w:lang w:eastAsia="en-US"/>
        </w:rPr>
        <w:t xml:space="preserve">Principe de la méthode </w:t>
      </w:r>
    </w:p>
    <w:p w:rsidR="002F374F" w:rsidRPr="000133B3" w:rsidRDefault="002F374F"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On pèse l’échantillon. On le sèche puis on le pèse de nouveau si la teneur en cendres doit être déclarée sur une base sèche. On incinère l’échantillon à haute température, puis on pèse le résidu, c’est-à-dire les minéraux. Le % de cendres totales est calculé sur une base humide, mais le plus souvent sur une base sèche pour plus de reproductibilité dans les résultats. </w:t>
      </w:r>
    </w:p>
    <w:p w:rsidR="002F374F" w:rsidRPr="000133B3" w:rsidRDefault="002F374F" w:rsidP="00E73D5F">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xml:space="preserve">% cendres totales (base humide)   =    </w:t>
      </w:r>
      <w:proofErr w:type="gramStart"/>
      <w:r w:rsidRPr="000133B3">
        <w:rPr>
          <w:rFonts w:asciiTheme="minorHAnsi" w:eastAsiaTheme="minorHAnsi" w:hAnsiTheme="minorHAnsi" w:cstheme="minorHAnsi"/>
          <w:b/>
          <w:bCs/>
          <w:i/>
          <w:iCs/>
          <w:color w:val="000000"/>
          <w:u w:val="single"/>
          <w:lang w:eastAsia="en-US"/>
        </w:rPr>
        <w:t>M(</w:t>
      </w:r>
      <w:proofErr w:type="gramEnd"/>
      <w:r w:rsidRPr="000133B3">
        <w:rPr>
          <w:rFonts w:asciiTheme="minorHAnsi" w:eastAsiaTheme="minorHAnsi" w:hAnsiTheme="minorHAnsi" w:cstheme="minorHAnsi"/>
          <w:b/>
          <w:bCs/>
          <w:i/>
          <w:iCs/>
          <w:color w:val="000000"/>
          <w:u w:val="single"/>
          <w:lang w:eastAsia="en-US"/>
        </w:rPr>
        <w:t>cendres) x 100</w:t>
      </w:r>
    </w:p>
    <w:p w:rsidR="002F374F" w:rsidRPr="000133B3" w:rsidRDefault="00B753A0" w:rsidP="00E73D5F">
      <w:pPr>
        <w:widowControl/>
        <w:spacing w:line="360" w:lineRule="auto"/>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xml:space="preserve">                                                               </w:t>
      </w:r>
      <w:proofErr w:type="gramStart"/>
      <w:r w:rsidR="002F374F" w:rsidRPr="000133B3">
        <w:rPr>
          <w:rFonts w:asciiTheme="minorHAnsi" w:eastAsiaTheme="minorHAnsi" w:hAnsiTheme="minorHAnsi" w:cstheme="minorHAnsi"/>
          <w:b/>
          <w:bCs/>
          <w:i/>
          <w:iCs/>
          <w:color w:val="000000"/>
          <w:lang w:eastAsia="en-US"/>
        </w:rPr>
        <w:t>M(</w:t>
      </w:r>
      <w:proofErr w:type="spellStart"/>
      <w:proofErr w:type="gramEnd"/>
      <w:r w:rsidR="002F374F" w:rsidRPr="000133B3">
        <w:rPr>
          <w:rFonts w:asciiTheme="minorHAnsi" w:eastAsiaTheme="minorHAnsi" w:hAnsiTheme="minorHAnsi" w:cstheme="minorHAnsi"/>
          <w:b/>
          <w:bCs/>
          <w:i/>
          <w:iCs/>
          <w:color w:val="000000"/>
          <w:lang w:eastAsia="en-US"/>
        </w:rPr>
        <w:t>éch</w:t>
      </w:r>
      <w:proofErr w:type="spellEnd"/>
      <w:r w:rsidR="002F374F" w:rsidRPr="000133B3">
        <w:rPr>
          <w:rFonts w:asciiTheme="minorHAnsi" w:eastAsiaTheme="minorHAnsi" w:hAnsiTheme="minorHAnsi" w:cstheme="minorHAnsi"/>
          <w:b/>
          <w:bCs/>
          <w:i/>
          <w:iCs/>
          <w:color w:val="000000"/>
          <w:lang w:eastAsia="en-US"/>
        </w:rPr>
        <w:t>. humide)</w:t>
      </w:r>
    </w:p>
    <w:p w:rsidR="002F374F" w:rsidRPr="000133B3" w:rsidRDefault="002F374F" w:rsidP="00E73D5F">
      <w:pPr>
        <w:widowControl/>
        <w:spacing w:before="240"/>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cendres totales (base sèche)     =</w:t>
      </w:r>
      <w:r w:rsidR="00D95BDB" w:rsidRPr="000133B3">
        <w:rPr>
          <w:rFonts w:asciiTheme="minorHAnsi" w:eastAsiaTheme="minorHAnsi" w:hAnsiTheme="minorHAnsi" w:cstheme="minorHAnsi"/>
          <w:b/>
          <w:bCs/>
          <w:i/>
          <w:iCs/>
          <w:color w:val="000000"/>
          <w:lang w:eastAsia="en-US"/>
        </w:rPr>
        <w:t xml:space="preserve">   </w:t>
      </w:r>
      <w:r w:rsidRPr="000133B3">
        <w:rPr>
          <w:rFonts w:asciiTheme="minorHAnsi" w:eastAsiaTheme="minorHAnsi" w:hAnsiTheme="minorHAnsi" w:cstheme="minorHAnsi"/>
          <w:b/>
          <w:bCs/>
          <w:i/>
          <w:iCs/>
          <w:color w:val="000000"/>
          <w:lang w:eastAsia="en-US"/>
        </w:rPr>
        <w:t xml:space="preserve"> </w:t>
      </w:r>
      <w:proofErr w:type="gramStart"/>
      <w:r w:rsidRPr="000133B3">
        <w:rPr>
          <w:rFonts w:asciiTheme="minorHAnsi" w:eastAsiaTheme="minorHAnsi" w:hAnsiTheme="minorHAnsi" w:cstheme="minorHAnsi"/>
          <w:b/>
          <w:bCs/>
          <w:i/>
          <w:iCs/>
          <w:color w:val="000000"/>
          <w:u w:val="single"/>
          <w:lang w:eastAsia="en-US"/>
        </w:rPr>
        <w:t>M(</w:t>
      </w:r>
      <w:proofErr w:type="gramEnd"/>
      <w:r w:rsidRPr="000133B3">
        <w:rPr>
          <w:rFonts w:asciiTheme="minorHAnsi" w:eastAsiaTheme="minorHAnsi" w:hAnsiTheme="minorHAnsi" w:cstheme="minorHAnsi"/>
          <w:b/>
          <w:bCs/>
          <w:i/>
          <w:iCs/>
          <w:color w:val="000000"/>
          <w:u w:val="single"/>
          <w:lang w:eastAsia="en-US"/>
        </w:rPr>
        <w:t>cendres) x 100</w:t>
      </w:r>
    </w:p>
    <w:p w:rsidR="002F374F" w:rsidRPr="000133B3" w:rsidRDefault="00B753A0" w:rsidP="00E73D5F">
      <w:pPr>
        <w:widowControl/>
        <w:spacing w:line="360" w:lineRule="auto"/>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xml:space="preserve">                                                                </w:t>
      </w:r>
      <w:proofErr w:type="gramStart"/>
      <w:r w:rsidR="002F374F" w:rsidRPr="000133B3">
        <w:rPr>
          <w:rFonts w:asciiTheme="minorHAnsi" w:eastAsiaTheme="minorHAnsi" w:hAnsiTheme="minorHAnsi" w:cstheme="minorHAnsi"/>
          <w:b/>
          <w:bCs/>
          <w:i/>
          <w:iCs/>
          <w:color w:val="000000"/>
          <w:lang w:eastAsia="en-US"/>
        </w:rPr>
        <w:t>M(</w:t>
      </w:r>
      <w:proofErr w:type="spellStart"/>
      <w:proofErr w:type="gramEnd"/>
      <w:r w:rsidR="002F374F" w:rsidRPr="000133B3">
        <w:rPr>
          <w:rFonts w:asciiTheme="minorHAnsi" w:eastAsiaTheme="minorHAnsi" w:hAnsiTheme="minorHAnsi" w:cstheme="minorHAnsi"/>
          <w:b/>
          <w:bCs/>
          <w:i/>
          <w:iCs/>
          <w:color w:val="000000"/>
          <w:lang w:eastAsia="en-US"/>
        </w:rPr>
        <w:t>éch</w:t>
      </w:r>
      <w:proofErr w:type="spellEnd"/>
      <w:r w:rsidR="002F374F" w:rsidRPr="000133B3">
        <w:rPr>
          <w:rFonts w:asciiTheme="minorHAnsi" w:eastAsiaTheme="minorHAnsi" w:hAnsiTheme="minorHAnsi" w:cstheme="minorHAnsi"/>
          <w:b/>
          <w:bCs/>
          <w:i/>
          <w:iCs/>
          <w:color w:val="000000"/>
          <w:lang w:eastAsia="en-US"/>
        </w:rPr>
        <w:t>. sec)</w:t>
      </w:r>
    </w:p>
    <w:p w:rsidR="00D95BDB" w:rsidRPr="00D23EC0" w:rsidRDefault="00D95BDB" w:rsidP="00E73D5F">
      <w:pPr>
        <w:widowControl/>
        <w:spacing w:before="240" w:line="360" w:lineRule="auto"/>
        <w:ind w:left="-284" w:right="-566"/>
        <w:jc w:val="both"/>
        <w:rPr>
          <w:rFonts w:asciiTheme="minorHAnsi" w:eastAsiaTheme="minorHAnsi" w:hAnsiTheme="minorHAnsi" w:cstheme="minorHAnsi"/>
          <w:color w:val="000000"/>
          <w:sz w:val="28"/>
          <w:szCs w:val="28"/>
          <w:u w:val="single"/>
          <w:lang w:eastAsia="en-US"/>
        </w:rPr>
      </w:pPr>
      <w:r w:rsidRPr="00D23EC0">
        <w:rPr>
          <w:rFonts w:asciiTheme="minorHAnsi" w:eastAsiaTheme="minorHAnsi" w:hAnsiTheme="minorHAnsi" w:cstheme="minorHAnsi"/>
          <w:b/>
          <w:bCs/>
          <w:color w:val="000000"/>
          <w:sz w:val="28"/>
          <w:szCs w:val="28"/>
          <w:u w:val="single"/>
          <w:lang w:eastAsia="en-US"/>
        </w:rPr>
        <w:t xml:space="preserve">3. Méthode de dosage des protéines </w:t>
      </w:r>
    </w:p>
    <w:p w:rsidR="00D95BDB" w:rsidRPr="000133B3" w:rsidRDefault="00D95BDB"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Contrairement aux sucres et aux lipides, les protéines contiennent de l’</w:t>
      </w:r>
      <w:r w:rsidRPr="000133B3">
        <w:rPr>
          <w:rFonts w:asciiTheme="minorHAnsi" w:eastAsiaTheme="minorHAnsi" w:hAnsiTheme="minorHAnsi" w:cstheme="minorHAnsi"/>
          <w:i/>
          <w:iCs/>
          <w:color w:val="000000"/>
          <w:u w:val="single"/>
          <w:lang w:eastAsia="en-US"/>
        </w:rPr>
        <w:t>azote</w:t>
      </w:r>
      <w:r w:rsidRPr="000133B3">
        <w:rPr>
          <w:rFonts w:asciiTheme="minorHAnsi" w:eastAsiaTheme="minorHAnsi" w:hAnsiTheme="minorHAnsi" w:cstheme="minorHAnsi"/>
          <w:i/>
          <w:iCs/>
          <w:color w:val="000000"/>
          <w:lang w:eastAsia="en-US"/>
        </w:rPr>
        <w:t xml:space="preserve">. Cette propriété sera exploitée dans la méthode de détermination de la teneur en protéines dans les aliments. </w:t>
      </w:r>
    </w:p>
    <w:p w:rsidR="00D95BDB" w:rsidRPr="000133B3" w:rsidRDefault="00D95BDB"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La méthode </w:t>
      </w:r>
      <w:proofErr w:type="spellStart"/>
      <w:r w:rsidRPr="000133B3">
        <w:rPr>
          <w:rFonts w:asciiTheme="minorHAnsi" w:eastAsiaTheme="minorHAnsi" w:hAnsiTheme="minorHAnsi" w:cstheme="minorHAnsi"/>
          <w:b/>
          <w:bCs/>
          <w:i/>
          <w:iCs/>
          <w:color w:val="000000"/>
          <w:lang w:eastAsia="en-US"/>
        </w:rPr>
        <w:t>Kjeldahl</w:t>
      </w:r>
      <w:proofErr w:type="spellEnd"/>
      <w:r w:rsidRPr="000133B3">
        <w:rPr>
          <w:rFonts w:asciiTheme="minorHAnsi" w:eastAsiaTheme="minorHAnsi" w:hAnsiTheme="minorHAnsi" w:cstheme="minorHAnsi"/>
          <w:b/>
          <w:bCs/>
          <w:i/>
          <w:iCs/>
          <w:color w:val="000000"/>
          <w:lang w:eastAsia="en-US"/>
        </w:rPr>
        <w:t xml:space="preserve"> </w:t>
      </w:r>
      <w:r w:rsidRPr="000133B3">
        <w:rPr>
          <w:rFonts w:asciiTheme="minorHAnsi" w:eastAsiaTheme="minorHAnsi" w:hAnsiTheme="minorHAnsi" w:cstheme="minorHAnsi"/>
          <w:i/>
          <w:iCs/>
          <w:color w:val="000000"/>
          <w:lang w:eastAsia="en-US"/>
        </w:rPr>
        <w:t xml:space="preserve">est la méthode de </w:t>
      </w:r>
      <w:r w:rsidRPr="000133B3">
        <w:rPr>
          <w:rFonts w:asciiTheme="minorHAnsi" w:eastAsiaTheme="minorHAnsi" w:hAnsiTheme="minorHAnsi" w:cstheme="minorHAnsi"/>
          <w:i/>
          <w:iCs/>
          <w:color w:val="000000"/>
          <w:u w:val="single"/>
          <w:lang w:eastAsia="en-US"/>
        </w:rPr>
        <w:t xml:space="preserve">référence </w:t>
      </w:r>
      <w:r w:rsidRPr="000133B3">
        <w:rPr>
          <w:rFonts w:asciiTheme="minorHAnsi" w:eastAsiaTheme="minorHAnsi" w:hAnsiTheme="minorHAnsi" w:cstheme="minorHAnsi"/>
          <w:i/>
          <w:iCs/>
          <w:color w:val="000000"/>
          <w:lang w:eastAsia="en-US"/>
        </w:rPr>
        <w:t xml:space="preserve">pour la détermination des protéines dans les aliments. Il existe deux versions de la méthode qui utilisent le même </w:t>
      </w:r>
      <w:proofErr w:type="gramStart"/>
      <w:r w:rsidRPr="000133B3">
        <w:rPr>
          <w:rFonts w:asciiTheme="minorHAnsi" w:eastAsiaTheme="minorHAnsi" w:hAnsiTheme="minorHAnsi" w:cstheme="minorHAnsi"/>
          <w:i/>
          <w:iCs/>
          <w:color w:val="000000"/>
          <w:lang w:eastAsia="en-US"/>
        </w:rPr>
        <w:t>principe:</w:t>
      </w:r>
      <w:proofErr w:type="gramEnd"/>
      <w:r w:rsidRPr="000133B3">
        <w:rPr>
          <w:rFonts w:asciiTheme="minorHAnsi" w:eastAsiaTheme="minorHAnsi" w:hAnsiTheme="minorHAnsi" w:cstheme="minorHAnsi"/>
          <w:i/>
          <w:iCs/>
          <w:color w:val="000000"/>
          <w:lang w:eastAsia="en-US"/>
        </w:rPr>
        <w:t xml:space="preserve"> la méthode macro-</w:t>
      </w:r>
      <w:proofErr w:type="spellStart"/>
      <w:r w:rsidRPr="000133B3">
        <w:rPr>
          <w:rFonts w:asciiTheme="minorHAnsi" w:eastAsiaTheme="minorHAnsi" w:hAnsiTheme="minorHAnsi" w:cstheme="minorHAnsi"/>
          <w:i/>
          <w:iCs/>
          <w:color w:val="000000"/>
          <w:lang w:eastAsia="en-US"/>
        </w:rPr>
        <w:t>Kjeldahl</w:t>
      </w:r>
      <w:proofErr w:type="spellEnd"/>
      <w:r w:rsidRPr="000133B3">
        <w:rPr>
          <w:rFonts w:asciiTheme="minorHAnsi" w:eastAsiaTheme="minorHAnsi" w:hAnsiTheme="minorHAnsi" w:cstheme="minorHAnsi"/>
          <w:i/>
          <w:iCs/>
          <w:color w:val="000000"/>
          <w:lang w:eastAsia="en-US"/>
        </w:rPr>
        <w:t xml:space="preserve"> et la méthode micro-</w:t>
      </w:r>
      <w:proofErr w:type="spellStart"/>
      <w:r w:rsidRPr="000133B3">
        <w:rPr>
          <w:rFonts w:asciiTheme="minorHAnsi" w:eastAsiaTheme="minorHAnsi" w:hAnsiTheme="minorHAnsi" w:cstheme="minorHAnsi"/>
          <w:i/>
          <w:iCs/>
          <w:color w:val="000000"/>
          <w:lang w:eastAsia="en-US"/>
        </w:rPr>
        <w:t>Kjeldahl</w:t>
      </w:r>
      <w:proofErr w:type="spellEnd"/>
      <w:r w:rsidRPr="000133B3">
        <w:rPr>
          <w:rFonts w:asciiTheme="minorHAnsi" w:eastAsiaTheme="minorHAnsi" w:hAnsiTheme="minorHAnsi" w:cstheme="minorHAnsi"/>
          <w:i/>
          <w:iCs/>
          <w:color w:val="000000"/>
          <w:lang w:eastAsia="en-US"/>
        </w:rPr>
        <w:t xml:space="preserve">. Elles diffèrent seulement par l’appareillage utilisé et les quantités </w:t>
      </w:r>
      <w:proofErr w:type="gramStart"/>
      <w:r w:rsidRPr="000133B3">
        <w:rPr>
          <w:rFonts w:asciiTheme="minorHAnsi" w:eastAsiaTheme="minorHAnsi" w:hAnsiTheme="minorHAnsi" w:cstheme="minorHAnsi"/>
          <w:i/>
          <w:iCs/>
          <w:color w:val="000000"/>
          <w:lang w:eastAsia="en-US"/>
        </w:rPr>
        <w:t>d’échantillon;</w:t>
      </w:r>
      <w:proofErr w:type="gramEnd"/>
      <w:r w:rsidRPr="000133B3">
        <w:rPr>
          <w:rFonts w:asciiTheme="minorHAnsi" w:eastAsiaTheme="minorHAnsi" w:hAnsiTheme="minorHAnsi" w:cstheme="minorHAnsi"/>
          <w:i/>
          <w:iCs/>
          <w:color w:val="000000"/>
          <w:lang w:eastAsia="en-US"/>
        </w:rPr>
        <w:t xml:space="preserve"> la masse d’échantillon analysée par la méthode macro-</w:t>
      </w:r>
      <w:proofErr w:type="spellStart"/>
      <w:r w:rsidRPr="000133B3">
        <w:rPr>
          <w:rFonts w:asciiTheme="minorHAnsi" w:eastAsiaTheme="minorHAnsi" w:hAnsiTheme="minorHAnsi" w:cstheme="minorHAnsi"/>
          <w:i/>
          <w:iCs/>
          <w:color w:val="000000"/>
          <w:lang w:eastAsia="en-US"/>
        </w:rPr>
        <w:t>Kjeldahl</w:t>
      </w:r>
      <w:proofErr w:type="spellEnd"/>
      <w:r w:rsidRPr="000133B3">
        <w:rPr>
          <w:rFonts w:asciiTheme="minorHAnsi" w:eastAsiaTheme="minorHAnsi" w:hAnsiTheme="minorHAnsi" w:cstheme="minorHAnsi"/>
          <w:i/>
          <w:iCs/>
          <w:color w:val="000000"/>
          <w:lang w:eastAsia="en-US"/>
        </w:rPr>
        <w:t xml:space="preserve"> est environ 5 fois plus élevée que celle analysée par la méthode micro-</w:t>
      </w:r>
      <w:proofErr w:type="spellStart"/>
      <w:r w:rsidRPr="000133B3">
        <w:rPr>
          <w:rFonts w:asciiTheme="minorHAnsi" w:eastAsiaTheme="minorHAnsi" w:hAnsiTheme="minorHAnsi" w:cstheme="minorHAnsi"/>
          <w:i/>
          <w:iCs/>
          <w:color w:val="000000"/>
          <w:lang w:eastAsia="en-US"/>
        </w:rPr>
        <w:t>Kjeldahl</w:t>
      </w:r>
      <w:proofErr w:type="spellEnd"/>
      <w:r w:rsidRPr="000133B3">
        <w:rPr>
          <w:rFonts w:asciiTheme="minorHAnsi" w:eastAsiaTheme="minorHAnsi" w:hAnsiTheme="minorHAnsi" w:cstheme="minorHAnsi"/>
          <w:i/>
          <w:iCs/>
          <w:color w:val="000000"/>
          <w:lang w:eastAsia="en-US"/>
        </w:rPr>
        <w:t xml:space="preserve">. </w:t>
      </w:r>
    </w:p>
    <w:p w:rsidR="00D95BDB" w:rsidRPr="00E73D5F" w:rsidRDefault="00D95BDB" w:rsidP="00E73D5F">
      <w:pPr>
        <w:pStyle w:val="Paragraphedeliste"/>
        <w:widowControl/>
        <w:numPr>
          <w:ilvl w:val="0"/>
          <w:numId w:val="17"/>
        </w:numPr>
        <w:spacing w:line="360" w:lineRule="auto"/>
        <w:ind w:left="-284" w:right="-566"/>
        <w:jc w:val="both"/>
        <w:rPr>
          <w:rFonts w:asciiTheme="minorHAnsi" w:eastAsiaTheme="minorHAnsi" w:hAnsiTheme="minorHAnsi" w:cstheme="minorHAnsi"/>
          <w:i/>
          <w:iCs/>
          <w:color w:val="000000"/>
          <w:lang w:eastAsia="en-US"/>
        </w:rPr>
      </w:pPr>
      <w:r w:rsidRPr="00E73D5F">
        <w:rPr>
          <w:rFonts w:asciiTheme="minorHAnsi" w:eastAsiaTheme="minorHAnsi" w:hAnsiTheme="minorHAnsi" w:cstheme="minorHAnsi"/>
          <w:b/>
          <w:bCs/>
          <w:i/>
          <w:iCs/>
          <w:color w:val="000000"/>
          <w:lang w:eastAsia="en-US"/>
        </w:rPr>
        <w:lastRenderedPageBreak/>
        <w:t xml:space="preserve">Calcul du % de protéines dans l’échantillon </w:t>
      </w:r>
      <w:r w:rsidRPr="00E73D5F">
        <w:rPr>
          <w:rFonts w:asciiTheme="minorHAnsi" w:eastAsiaTheme="minorHAnsi" w:hAnsiTheme="minorHAnsi" w:cstheme="minorHAnsi"/>
          <w:i/>
          <w:iCs/>
          <w:color w:val="000000"/>
          <w:lang w:eastAsia="en-US"/>
        </w:rPr>
        <w:t xml:space="preserve">Le % de protéines dans l’échantillon est obtenu en multipliant le % d’azote par un </w:t>
      </w:r>
      <w:r w:rsidRPr="00E73D5F">
        <w:rPr>
          <w:rFonts w:asciiTheme="minorHAnsi" w:eastAsiaTheme="minorHAnsi" w:hAnsiTheme="minorHAnsi" w:cstheme="minorHAnsi"/>
          <w:i/>
          <w:iCs/>
          <w:color w:val="000000"/>
          <w:u w:val="single"/>
          <w:lang w:eastAsia="en-US"/>
        </w:rPr>
        <w:t xml:space="preserve">facteur </w:t>
      </w:r>
      <w:r w:rsidRPr="00E73D5F">
        <w:rPr>
          <w:rFonts w:asciiTheme="minorHAnsi" w:eastAsiaTheme="minorHAnsi" w:hAnsiTheme="minorHAnsi" w:cstheme="minorHAnsi"/>
          <w:i/>
          <w:iCs/>
          <w:color w:val="000000"/>
          <w:lang w:eastAsia="en-US"/>
        </w:rPr>
        <w:t xml:space="preserve">F dépendant du type d’aliment analysé. </w:t>
      </w:r>
    </w:p>
    <w:p w:rsidR="00D95BDB" w:rsidRPr="000133B3" w:rsidRDefault="00D95BDB" w:rsidP="00E330B4">
      <w:pPr>
        <w:widowControl/>
        <w:ind w:left="-284" w:right="-566"/>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w:t>
      </w:r>
      <w:r w:rsidR="00E330B4">
        <w:rPr>
          <w:rFonts w:asciiTheme="minorHAnsi" w:eastAsiaTheme="minorHAnsi" w:hAnsiTheme="minorHAnsi" w:cstheme="minorHAnsi"/>
          <w:b/>
          <w:bCs/>
          <w:i/>
          <w:iCs/>
          <w:color w:val="000000"/>
          <w:lang w:eastAsia="en-US"/>
        </w:rPr>
        <w:t xml:space="preserve"> protéines = % N x F </w:t>
      </w:r>
    </w:p>
    <w:p w:rsidR="00D95BDB" w:rsidRPr="000133B3" w:rsidRDefault="00D95BDB" w:rsidP="00E330B4">
      <w:pPr>
        <w:widowControl/>
        <w:spacing w:line="360" w:lineRule="auto"/>
        <w:ind w:left="-284" w:right="-566"/>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                                                                              </w:t>
      </w:r>
      <w:r w:rsidR="008F4A41" w:rsidRPr="000133B3">
        <w:rPr>
          <w:rFonts w:asciiTheme="minorHAnsi" w:eastAsiaTheme="minorHAnsi" w:hAnsiTheme="minorHAnsi" w:cstheme="minorHAnsi"/>
          <w:b/>
          <w:bCs/>
          <w:i/>
          <w:iCs/>
          <w:color w:val="000000"/>
          <w:lang w:eastAsia="en-US"/>
        </w:rPr>
        <w:t xml:space="preserve">           </w:t>
      </w:r>
    </w:p>
    <w:p w:rsidR="00D95BDB" w:rsidRDefault="00D95BDB" w:rsidP="00E73D5F">
      <w:pPr>
        <w:widowControl/>
        <w:spacing w:line="360" w:lineRule="auto"/>
        <w:ind w:left="-284" w:right="-566"/>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Le tableau suivant montre les principaux facteurs utilisés avec la méthode </w:t>
      </w:r>
      <w:proofErr w:type="spellStart"/>
      <w:r w:rsidRPr="000133B3">
        <w:rPr>
          <w:rFonts w:asciiTheme="minorHAnsi" w:eastAsiaTheme="minorHAnsi" w:hAnsiTheme="minorHAnsi" w:cstheme="minorHAnsi"/>
          <w:b/>
          <w:bCs/>
          <w:i/>
          <w:iCs/>
          <w:color w:val="000000"/>
          <w:lang w:eastAsia="en-US"/>
        </w:rPr>
        <w:t>Kjeldahl</w:t>
      </w:r>
      <w:proofErr w:type="spellEnd"/>
      <w:r w:rsidRPr="000133B3">
        <w:rPr>
          <w:rFonts w:asciiTheme="minorHAnsi" w:eastAsiaTheme="minorHAnsi" w:hAnsiTheme="minorHAnsi" w:cstheme="minorHAnsi"/>
          <w:b/>
          <w:bCs/>
          <w:i/>
          <w:iCs/>
          <w:color w:val="000000"/>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81"/>
      </w:tblGrid>
      <w:tr w:rsidR="00E330B4" w:rsidRPr="000133B3" w:rsidTr="00436F84">
        <w:trPr>
          <w:trHeight w:val="159"/>
          <w:jc w:val="center"/>
        </w:trPr>
        <w:tc>
          <w:tcPr>
            <w:tcW w:w="1955" w:type="dxa"/>
            <w:shd w:val="clear" w:color="auto" w:fill="F2F2F2" w:themeFill="background1" w:themeFillShade="F2"/>
          </w:tcPr>
          <w:p w:rsidR="00E330B4" w:rsidRPr="000133B3" w:rsidRDefault="00E330B4" w:rsidP="00436F84">
            <w:pPr>
              <w:widowControl/>
              <w:spacing w:line="276" w:lineRule="auto"/>
              <w:jc w:val="both"/>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 xml:space="preserve">Aliment </w:t>
            </w:r>
          </w:p>
        </w:tc>
        <w:tc>
          <w:tcPr>
            <w:tcW w:w="1981" w:type="dxa"/>
            <w:shd w:val="clear" w:color="auto" w:fill="F2F2F2" w:themeFill="background1" w:themeFillShade="F2"/>
          </w:tcPr>
          <w:p w:rsidR="00E330B4" w:rsidRPr="000133B3" w:rsidRDefault="00E330B4" w:rsidP="00436F84">
            <w:pPr>
              <w:widowControl/>
              <w:spacing w:line="276" w:lineRule="auto"/>
              <w:jc w:val="center"/>
              <w:rPr>
                <w:rFonts w:asciiTheme="minorHAnsi" w:eastAsiaTheme="minorHAnsi" w:hAnsiTheme="minorHAnsi" w:cstheme="minorHAnsi"/>
                <w:b/>
                <w:bCs/>
                <w:i/>
                <w:iCs/>
                <w:color w:val="000000"/>
                <w:lang w:eastAsia="en-US"/>
              </w:rPr>
            </w:pPr>
            <w:r w:rsidRPr="000133B3">
              <w:rPr>
                <w:rFonts w:asciiTheme="minorHAnsi" w:eastAsiaTheme="minorHAnsi" w:hAnsiTheme="minorHAnsi" w:cstheme="minorHAnsi"/>
                <w:b/>
                <w:bCs/>
                <w:i/>
                <w:iCs/>
                <w:color w:val="000000"/>
                <w:lang w:eastAsia="en-US"/>
              </w:rPr>
              <w:t>Facteur</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farine de blé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5,70</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pain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5,70</w:t>
            </w:r>
          </w:p>
        </w:tc>
      </w:tr>
      <w:tr w:rsidR="00E330B4" w:rsidRPr="000133B3" w:rsidTr="00436F84">
        <w:trPr>
          <w:trHeight w:val="297"/>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produits laitiers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6,38</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amandes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5,18</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arachides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5,46</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noix du Brésil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5,46</w:t>
            </w:r>
          </w:p>
        </w:tc>
      </w:tr>
      <w:tr w:rsidR="00E330B4" w:rsidRPr="000133B3" w:rsidTr="00436F84">
        <w:trPr>
          <w:trHeight w:val="159"/>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autres noix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5,30</w:t>
            </w:r>
          </w:p>
        </w:tc>
      </w:tr>
      <w:tr w:rsidR="00E330B4" w:rsidRPr="000133B3" w:rsidTr="00436F84">
        <w:trPr>
          <w:trHeight w:val="297"/>
          <w:jc w:val="center"/>
        </w:trPr>
        <w:tc>
          <w:tcPr>
            <w:tcW w:w="1955" w:type="dxa"/>
          </w:tcPr>
          <w:p w:rsidR="00E330B4" w:rsidRPr="000133B3" w:rsidRDefault="00E330B4" w:rsidP="00436F84">
            <w:pPr>
              <w:widowControl/>
              <w:spacing w:line="276" w:lineRule="auto"/>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facteur général </w:t>
            </w:r>
          </w:p>
        </w:tc>
        <w:tc>
          <w:tcPr>
            <w:tcW w:w="1981" w:type="dxa"/>
          </w:tcPr>
          <w:p w:rsidR="00E330B4" w:rsidRPr="000133B3" w:rsidRDefault="00E330B4" w:rsidP="00436F84">
            <w:pPr>
              <w:widowControl/>
              <w:spacing w:line="276" w:lineRule="auto"/>
              <w:jc w:val="center"/>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6,25</w:t>
            </w:r>
          </w:p>
        </w:tc>
      </w:tr>
    </w:tbl>
    <w:p w:rsidR="00D95BDB" w:rsidRPr="000133B3" w:rsidRDefault="00D95BDB" w:rsidP="00E73D5F">
      <w:pPr>
        <w:widowControl/>
        <w:spacing w:before="240" w:after="240" w:line="360" w:lineRule="auto"/>
        <w:ind w:left="-284" w:right="-566"/>
        <w:jc w:val="both"/>
        <w:rPr>
          <w:rFonts w:asciiTheme="minorHAnsi" w:eastAsiaTheme="minorHAnsi" w:hAnsiTheme="minorHAnsi" w:cstheme="minorHAnsi"/>
          <w:i/>
          <w:iCs/>
          <w:color w:val="000000"/>
          <w:lang w:eastAsia="en-US"/>
        </w:rPr>
      </w:pPr>
      <w:bookmarkStart w:id="0" w:name="_GoBack"/>
      <w:bookmarkEnd w:id="0"/>
      <w:r w:rsidRPr="000133B3">
        <w:rPr>
          <w:rFonts w:asciiTheme="minorHAnsi" w:eastAsiaTheme="minorHAnsi" w:hAnsiTheme="minorHAnsi" w:cstheme="minorHAnsi"/>
          <w:b/>
          <w:bCs/>
          <w:i/>
          <w:iCs/>
          <w:color w:val="000000"/>
          <w:lang w:eastAsia="en-US"/>
        </w:rPr>
        <w:t xml:space="preserve">4. Méthodes de dosage des lipides </w:t>
      </w:r>
    </w:p>
    <w:p w:rsidR="00D95BDB" w:rsidRPr="000133B3" w:rsidRDefault="00D95BDB"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Les lipides sont insolubles dans l’eau et très solubles dans les solvants organiques. La plupart des méthodes de dosage des lipides exploitent ces propriétés physiques pour extraire les lipides des aliments dans le but de mesurer leur concentration. </w:t>
      </w:r>
    </w:p>
    <w:p w:rsidR="00D95BDB" w:rsidRPr="000133B3" w:rsidRDefault="00D95BDB" w:rsidP="00E73D5F">
      <w:pPr>
        <w:widowControl/>
        <w:spacing w:before="240"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b/>
          <w:bCs/>
          <w:i/>
          <w:iCs/>
          <w:color w:val="000000"/>
          <w:lang w:eastAsia="en-US"/>
        </w:rPr>
        <w:t xml:space="preserve">Exemple/ Méthode </w:t>
      </w:r>
      <w:proofErr w:type="spellStart"/>
      <w:r w:rsidRPr="000133B3">
        <w:rPr>
          <w:rFonts w:asciiTheme="minorHAnsi" w:eastAsiaTheme="minorHAnsi" w:hAnsiTheme="minorHAnsi" w:cstheme="minorHAnsi"/>
          <w:b/>
          <w:bCs/>
          <w:i/>
          <w:iCs/>
          <w:color w:val="000000"/>
          <w:lang w:eastAsia="en-US"/>
        </w:rPr>
        <w:t>Soxhlet</w:t>
      </w:r>
      <w:proofErr w:type="spellEnd"/>
      <w:r w:rsidRPr="000133B3">
        <w:rPr>
          <w:rFonts w:asciiTheme="minorHAnsi" w:eastAsiaTheme="minorHAnsi" w:hAnsiTheme="minorHAnsi" w:cstheme="minorHAnsi"/>
          <w:b/>
          <w:bCs/>
          <w:i/>
          <w:iCs/>
          <w:color w:val="000000"/>
          <w:lang w:eastAsia="en-US"/>
        </w:rPr>
        <w:t xml:space="preserve"> </w:t>
      </w:r>
    </w:p>
    <w:p w:rsidR="00D95BDB" w:rsidRPr="000133B3" w:rsidRDefault="00D95BDB"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lang w:eastAsia="en-US"/>
        </w:rPr>
        <w:t xml:space="preserve">La méthode </w:t>
      </w:r>
      <w:proofErr w:type="spellStart"/>
      <w:r w:rsidRPr="000133B3">
        <w:rPr>
          <w:rFonts w:asciiTheme="minorHAnsi" w:eastAsiaTheme="minorHAnsi" w:hAnsiTheme="minorHAnsi" w:cstheme="minorHAnsi"/>
          <w:i/>
          <w:iCs/>
          <w:color w:val="000000"/>
          <w:lang w:eastAsia="en-US"/>
        </w:rPr>
        <w:t>Soxhlet</w:t>
      </w:r>
      <w:proofErr w:type="spellEnd"/>
      <w:r w:rsidRPr="000133B3">
        <w:rPr>
          <w:rFonts w:asciiTheme="minorHAnsi" w:eastAsiaTheme="minorHAnsi" w:hAnsiTheme="minorHAnsi" w:cstheme="minorHAnsi"/>
          <w:i/>
          <w:iCs/>
          <w:color w:val="000000"/>
          <w:lang w:eastAsia="en-US"/>
        </w:rPr>
        <w:t xml:space="preserve"> est la méthode de </w:t>
      </w:r>
      <w:r w:rsidRPr="000133B3">
        <w:rPr>
          <w:rFonts w:asciiTheme="minorHAnsi" w:eastAsiaTheme="minorHAnsi" w:hAnsiTheme="minorHAnsi" w:cstheme="minorHAnsi"/>
          <w:i/>
          <w:iCs/>
          <w:color w:val="000000"/>
          <w:u w:val="single"/>
          <w:lang w:eastAsia="en-US"/>
        </w:rPr>
        <w:t xml:space="preserve">référence </w:t>
      </w:r>
      <w:r w:rsidRPr="000133B3">
        <w:rPr>
          <w:rFonts w:asciiTheme="minorHAnsi" w:eastAsiaTheme="minorHAnsi" w:hAnsiTheme="minorHAnsi" w:cstheme="minorHAnsi"/>
          <w:i/>
          <w:iCs/>
          <w:color w:val="000000"/>
          <w:lang w:eastAsia="en-US"/>
        </w:rPr>
        <w:t xml:space="preserve">utilisée pour la détermination de la matière grasse dans les aliments solides déshydratés. C’est une méthode gravimétrique, puisqu’on pèse l’échantillon au début et la matière grasse à la fin de l’extraction. </w:t>
      </w:r>
    </w:p>
    <w:p w:rsidR="00D95BDB" w:rsidRPr="000133B3" w:rsidRDefault="00D95BDB" w:rsidP="00E73D5F">
      <w:pPr>
        <w:widowControl/>
        <w:spacing w:line="360" w:lineRule="auto"/>
        <w:ind w:left="-284" w:right="-566"/>
        <w:jc w:val="both"/>
        <w:rPr>
          <w:rFonts w:asciiTheme="minorHAnsi" w:eastAsiaTheme="minorHAnsi" w:hAnsiTheme="minorHAnsi" w:cstheme="minorHAnsi"/>
          <w:i/>
          <w:iCs/>
          <w:color w:val="000000"/>
          <w:lang w:eastAsia="en-US"/>
        </w:rPr>
      </w:pPr>
      <w:r w:rsidRPr="000133B3">
        <w:rPr>
          <w:rFonts w:asciiTheme="minorHAnsi" w:eastAsiaTheme="minorHAnsi" w:hAnsiTheme="minorHAnsi" w:cstheme="minorHAnsi"/>
          <w:i/>
          <w:iCs/>
          <w:color w:val="000000"/>
          <w:u w:val="single"/>
          <w:lang w:eastAsia="en-US"/>
        </w:rPr>
        <w:t xml:space="preserve">Principe de la méthode </w:t>
      </w:r>
    </w:p>
    <w:p w:rsidR="00D95BDB" w:rsidRPr="000133B3" w:rsidRDefault="00D95BDB" w:rsidP="00E73D5F">
      <w:pPr>
        <w:spacing w:line="360" w:lineRule="auto"/>
        <w:ind w:left="-284" w:right="-566"/>
        <w:jc w:val="both"/>
        <w:rPr>
          <w:rFonts w:asciiTheme="minorHAnsi" w:hAnsiTheme="minorHAnsi" w:cstheme="minorHAnsi"/>
          <w:i/>
          <w:iCs/>
          <w:highlight w:val="lightGray"/>
          <w:lang w:eastAsia="en-US"/>
        </w:rPr>
      </w:pPr>
      <w:r w:rsidRPr="000133B3">
        <w:rPr>
          <w:rFonts w:asciiTheme="minorHAnsi" w:eastAsiaTheme="minorHAnsi" w:hAnsiTheme="minorHAnsi" w:cstheme="minorHAnsi"/>
          <w:i/>
          <w:iCs/>
          <w:color w:val="000000"/>
          <w:lang w:eastAsia="en-US"/>
        </w:rPr>
        <w:t>L’aliment solide est pesé et placé dans une capsule de cellulose. L’échantillon est extrait en continu par de l’éther éthylique à ébullition (P.E. 35</w:t>
      </w:r>
      <w:r w:rsidRPr="000133B3">
        <w:rPr>
          <w:rFonts w:asciiTheme="minorHAnsi" w:eastAsiaTheme="minorHAnsi" w:hAnsiTheme="minorHAnsi" w:cstheme="minorHAnsi"/>
          <w:i/>
          <w:iCs/>
          <w:color w:val="000000"/>
          <w:position w:val="10"/>
          <w:vertAlign w:val="superscript"/>
          <w:lang w:eastAsia="en-US"/>
        </w:rPr>
        <w:t>o</w:t>
      </w:r>
      <w:r w:rsidRPr="000133B3">
        <w:rPr>
          <w:rFonts w:asciiTheme="minorHAnsi" w:eastAsiaTheme="minorHAnsi" w:hAnsiTheme="minorHAnsi" w:cstheme="minorHAnsi"/>
          <w:i/>
          <w:iCs/>
          <w:color w:val="000000"/>
          <w:lang w:eastAsia="en-US"/>
        </w:rPr>
        <w:t>C) qui dissout graduellement la matière grasse. Le solvant contenant la matière grasse retourne dans le ballon par déversements successifs causés par un effet de siphon dans le coude latéral. Comme seul le solvant peut s’évaporer de nouveau, la matière grasse s’accumule dans le ballon jusqu’à ce que l’extraction soit complète. Une fois l’extraction terminée, l’éther est évaporé, généralement sur un évaporateur rotatif, et la matière grasse est pesée.</w:t>
      </w:r>
    </w:p>
    <w:p w:rsidR="00E73D5F" w:rsidRDefault="00D95BDB" w:rsidP="00E73D5F">
      <w:pPr>
        <w:widowControl/>
        <w:spacing w:line="360" w:lineRule="auto"/>
        <w:ind w:left="-284" w:right="-566"/>
        <w:jc w:val="center"/>
        <w:rPr>
          <w:rFonts w:asciiTheme="minorHAnsi" w:eastAsiaTheme="minorHAnsi" w:hAnsiTheme="minorHAnsi" w:cstheme="minorHAnsi"/>
          <w:b/>
          <w:bCs/>
          <w:i/>
          <w:iCs/>
          <w:color w:val="000000"/>
          <w:u w:val="single"/>
          <w:lang w:eastAsia="en-US"/>
        </w:rPr>
      </w:pPr>
      <w:r w:rsidRPr="000133B3">
        <w:rPr>
          <w:rFonts w:asciiTheme="minorHAnsi" w:eastAsiaTheme="minorHAnsi" w:hAnsiTheme="minorHAnsi" w:cstheme="minorHAnsi"/>
          <w:i/>
          <w:iCs/>
          <w:color w:val="000000"/>
          <w:lang w:eastAsia="en-US"/>
        </w:rPr>
        <w:t xml:space="preserve">- les capsules de cellulose sont perméables au solvant et à la matière grasse qui y est dissoute. Ces capsules sont jetables. </w:t>
      </w:r>
      <w:r w:rsidR="001449E0" w:rsidRPr="000133B3">
        <w:rPr>
          <w:rFonts w:asciiTheme="minorHAnsi" w:eastAsiaTheme="minorHAnsi" w:hAnsiTheme="minorHAnsi" w:cstheme="minorHAnsi"/>
          <w:b/>
          <w:bCs/>
          <w:i/>
          <w:iCs/>
          <w:color w:val="000000"/>
          <w:lang w:eastAsia="en-US"/>
        </w:rPr>
        <w:t xml:space="preserve">% lipides = </w:t>
      </w:r>
      <w:r w:rsidR="001449E0" w:rsidRPr="000133B3">
        <w:rPr>
          <w:rFonts w:asciiTheme="minorHAnsi" w:eastAsiaTheme="minorHAnsi" w:hAnsiTheme="minorHAnsi" w:cstheme="minorHAnsi"/>
          <w:b/>
          <w:bCs/>
          <w:i/>
          <w:iCs/>
          <w:color w:val="000000"/>
          <w:u w:val="single"/>
          <w:lang w:eastAsia="en-US"/>
        </w:rPr>
        <w:t>M (lipides) x 100</w:t>
      </w:r>
    </w:p>
    <w:p w:rsidR="00841A79" w:rsidRPr="00E330B4" w:rsidRDefault="00E73D5F" w:rsidP="00E330B4">
      <w:pPr>
        <w:widowControl/>
        <w:spacing w:line="360" w:lineRule="auto"/>
        <w:ind w:left="-284" w:right="-566"/>
        <w:jc w:val="center"/>
        <w:rPr>
          <w:rFonts w:asciiTheme="minorHAnsi" w:eastAsiaTheme="minorHAnsi" w:hAnsiTheme="minorHAnsi" w:cstheme="minorHAnsi"/>
          <w:i/>
          <w:iCs/>
          <w:lang w:eastAsia="en-US"/>
        </w:rPr>
      </w:pPr>
      <w:r>
        <w:rPr>
          <w:rFonts w:asciiTheme="minorHAnsi" w:eastAsiaTheme="minorHAnsi" w:hAnsiTheme="minorHAnsi" w:cstheme="minorHAnsi"/>
          <w:b/>
          <w:bCs/>
          <w:i/>
          <w:iCs/>
          <w:color w:val="000000"/>
          <w:lang w:eastAsia="en-US"/>
        </w:rPr>
        <w:t xml:space="preserve">                                                       </w:t>
      </w:r>
      <w:r w:rsidR="001449E0" w:rsidRPr="000133B3">
        <w:rPr>
          <w:rFonts w:asciiTheme="minorHAnsi" w:eastAsiaTheme="minorHAnsi" w:hAnsiTheme="minorHAnsi" w:cstheme="minorHAnsi"/>
          <w:b/>
          <w:bCs/>
          <w:i/>
          <w:iCs/>
          <w:color w:val="000000"/>
          <w:lang w:eastAsia="en-US"/>
        </w:rPr>
        <w:t xml:space="preserve"> </w:t>
      </w:r>
      <w:proofErr w:type="gramStart"/>
      <w:r w:rsidR="001449E0">
        <w:rPr>
          <w:rFonts w:asciiTheme="minorHAnsi" w:eastAsiaTheme="minorHAnsi" w:hAnsiTheme="minorHAnsi" w:cstheme="minorHAnsi"/>
          <w:b/>
          <w:bCs/>
          <w:i/>
          <w:iCs/>
          <w:color w:val="000000"/>
          <w:lang w:eastAsia="en-US"/>
        </w:rPr>
        <w:t>M(</w:t>
      </w:r>
      <w:proofErr w:type="gramEnd"/>
      <w:r w:rsidR="001449E0">
        <w:rPr>
          <w:rFonts w:asciiTheme="minorHAnsi" w:eastAsiaTheme="minorHAnsi" w:hAnsiTheme="minorHAnsi" w:cstheme="minorHAnsi"/>
          <w:b/>
          <w:bCs/>
          <w:i/>
          <w:iCs/>
          <w:color w:val="000000"/>
          <w:lang w:eastAsia="en-US"/>
        </w:rPr>
        <w:t>échantillon)</w:t>
      </w:r>
    </w:p>
    <w:p w:rsidR="008145D9" w:rsidRPr="000133B3" w:rsidRDefault="001607D1" w:rsidP="00E73D5F">
      <w:pPr>
        <w:tabs>
          <w:tab w:val="left" w:pos="2968"/>
        </w:tabs>
        <w:ind w:left="-284" w:right="-566"/>
        <w:rPr>
          <w:rFonts w:asciiTheme="minorHAnsi" w:eastAsiaTheme="minorHAnsi" w:hAnsiTheme="minorHAnsi" w:cstheme="minorHAnsi"/>
          <w:i/>
          <w:iCs/>
          <w:sz w:val="14"/>
          <w:szCs w:val="14"/>
          <w:lang w:eastAsia="en-US"/>
        </w:rPr>
      </w:pPr>
      <w:r w:rsidRPr="000133B3">
        <w:rPr>
          <w:rFonts w:asciiTheme="minorHAnsi" w:hAnsiTheme="minorHAnsi" w:cstheme="minorHAnsi"/>
          <w:i/>
          <w:iCs/>
          <w:sz w:val="36"/>
          <w:szCs w:val="10"/>
        </w:rPr>
        <w:t xml:space="preserve"> </w:t>
      </w:r>
    </w:p>
    <w:sectPr w:rsidR="008145D9" w:rsidRPr="000133B3" w:rsidSect="008145D9">
      <w:footerReference w:type="default" r:id="rId7"/>
      <w:pgSz w:w="11906" w:h="16838"/>
      <w:pgMar w:top="1276" w:right="1416" w:bottom="426"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198" w:rsidRDefault="00592198" w:rsidP="00F26821">
      <w:r>
        <w:separator/>
      </w:r>
    </w:p>
  </w:endnote>
  <w:endnote w:type="continuationSeparator" w:id="0">
    <w:p w:rsidR="00592198" w:rsidRDefault="00592198" w:rsidP="00F2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77572"/>
      <w:docPartObj>
        <w:docPartGallery w:val="Page Numbers (Bottom of Page)"/>
        <w:docPartUnique/>
      </w:docPartObj>
    </w:sdtPr>
    <w:sdtContent>
      <w:p w:rsidR="000133B3" w:rsidRPr="00B753A0" w:rsidRDefault="00382F57">
        <w:pPr>
          <w:pStyle w:val="Pieddepage"/>
          <w:jc w:val="right"/>
          <w:rPr>
            <w:sz w:val="20"/>
            <w:szCs w:val="20"/>
          </w:rPr>
        </w:pPr>
        <w:r w:rsidRPr="008F4A41">
          <w:rPr>
            <w:i/>
            <w:iCs/>
            <w:sz w:val="20"/>
            <w:szCs w:val="20"/>
          </w:rPr>
          <w:fldChar w:fldCharType="begin"/>
        </w:r>
        <w:r w:rsidR="000133B3" w:rsidRPr="008F4A41">
          <w:rPr>
            <w:i/>
            <w:iCs/>
            <w:sz w:val="20"/>
            <w:szCs w:val="20"/>
          </w:rPr>
          <w:instrText xml:space="preserve"> PAGE   \* MERGEFORMAT </w:instrText>
        </w:r>
        <w:r w:rsidRPr="008F4A41">
          <w:rPr>
            <w:i/>
            <w:iCs/>
            <w:sz w:val="20"/>
            <w:szCs w:val="20"/>
          </w:rPr>
          <w:fldChar w:fldCharType="separate"/>
        </w:r>
        <w:r w:rsidR="00E330B4">
          <w:rPr>
            <w:i/>
            <w:iCs/>
            <w:noProof/>
            <w:sz w:val="20"/>
            <w:szCs w:val="20"/>
          </w:rPr>
          <w:t>3</w:t>
        </w:r>
        <w:r w:rsidRPr="008F4A41">
          <w:rPr>
            <w:i/>
            <w:iCs/>
            <w:sz w:val="20"/>
            <w:szCs w:val="20"/>
          </w:rPr>
          <w:fldChar w:fldCharType="end"/>
        </w:r>
      </w:p>
    </w:sdtContent>
  </w:sdt>
  <w:p w:rsidR="000133B3" w:rsidRPr="000C0074" w:rsidRDefault="000133B3" w:rsidP="000133B3">
    <w:pPr>
      <w:pStyle w:val="En-tte"/>
      <w:tabs>
        <w:tab w:val="clear" w:pos="9072"/>
        <w:tab w:val="left" w:pos="1050"/>
        <w:tab w:val="left" w:pos="5011"/>
        <w:tab w:val="right" w:pos="9073"/>
      </w:tabs>
      <w:jc w:val="right"/>
      <w:rPr>
        <w:rFonts w:ascii="Mistral" w:hAnsi="Mistral"/>
        <w:sz w:val="20"/>
        <w:szCs w:val="20"/>
      </w:rPr>
    </w:pPr>
    <w:r>
      <w:rPr>
        <w:rFonts w:ascii="Mistral" w:hAnsi="Mistral"/>
        <w:sz w:val="20"/>
        <w:szCs w:val="20"/>
      </w:rPr>
      <w:t xml:space="preserve">                        </w:t>
    </w:r>
  </w:p>
  <w:p w:rsidR="000133B3" w:rsidRPr="008145D9" w:rsidRDefault="000133B3" w:rsidP="008145D9">
    <w:pPr>
      <w:pStyle w:val="Pieddepag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198" w:rsidRDefault="00592198" w:rsidP="00F26821">
      <w:r>
        <w:separator/>
      </w:r>
    </w:p>
  </w:footnote>
  <w:footnote w:type="continuationSeparator" w:id="0">
    <w:p w:rsidR="00592198" w:rsidRDefault="00592198" w:rsidP="00F26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2F39"/>
    <w:multiLevelType w:val="hybridMultilevel"/>
    <w:tmpl w:val="CA00E87C"/>
    <w:lvl w:ilvl="0" w:tplc="DFC2B9C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E51CDF"/>
    <w:multiLevelType w:val="hybridMultilevel"/>
    <w:tmpl w:val="67302082"/>
    <w:lvl w:ilvl="0" w:tplc="F2FEA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7E6CA0"/>
    <w:multiLevelType w:val="hybridMultilevel"/>
    <w:tmpl w:val="67302082"/>
    <w:lvl w:ilvl="0" w:tplc="F2FEA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272178"/>
    <w:multiLevelType w:val="hybridMultilevel"/>
    <w:tmpl w:val="726066B8"/>
    <w:lvl w:ilvl="0" w:tplc="BD0E4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8D5376"/>
    <w:multiLevelType w:val="hybridMultilevel"/>
    <w:tmpl w:val="0240BF42"/>
    <w:lvl w:ilvl="0" w:tplc="3898908E">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5" w15:restartNumberingAfterBreak="0">
    <w:nsid w:val="36D00C3A"/>
    <w:multiLevelType w:val="hybridMultilevel"/>
    <w:tmpl w:val="D31095AE"/>
    <w:lvl w:ilvl="0" w:tplc="B6B24012">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DB7CC9"/>
    <w:multiLevelType w:val="hybridMultilevel"/>
    <w:tmpl w:val="0E0C4D3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D16459B"/>
    <w:multiLevelType w:val="hybridMultilevel"/>
    <w:tmpl w:val="4FBEB522"/>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48E369B7"/>
    <w:multiLevelType w:val="hybridMultilevel"/>
    <w:tmpl w:val="D31095AE"/>
    <w:lvl w:ilvl="0" w:tplc="B6B24012">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A0130A"/>
    <w:multiLevelType w:val="hybridMultilevel"/>
    <w:tmpl w:val="600ADDD0"/>
    <w:lvl w:ilvl="0" w:tplc="86328BB6">
      <w:start w:val="2016"/>
      <w:numFmt w:val="bullet"/>
      <w:lvlText w:val="-"/>
      <w:lvlJc w:val="left"/>
      <w:pPr>
        <w:ind w:left="720" w:hanging="360"/>
      </w:pPr>
      <w:rPr>
        <w:rFonts w:ascii="Cambria" w:eastAsiaTheme="minorEastAsia"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8D44FF"/>
    <w:multiLevelType w:val="hybridMultilevel"/>
    <w:tmpl w:val="273CB3DC"/>
    <w:lvl w:ilvl="0" w:tplc="DA28F172">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803CA"/>
    <w:multiLevelType w:val="hybridMultilevel"/>
    <w:tmpl w:val="2548AD7E"/>
    <w:lvl w:ilvl="0" w:tplc="E8D82FD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2180848"/>
    <w:multiLevelType w:val="hybridMultilevel"/>
    <w:tmpl w:val="18EA43F4"/>
    <w:lvl w:ilvl="0" w:tplc="5E729C9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880D93"/>
    <w:multiLevelType w:val="hybridMultilevel"/>
    <w:tmpl w:val="01C88DD4"/>
    <w:lvl w:ilvl="0" w:tplc="C77464CA">
      <w:start w:val="30"/>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64596"/>
    <w:multiLevelType w:val="hybridMultilevel"/>
    <w:tmpl w:val="AADA0CAC"/>
    <w:lvl w:ilvl="0" w:tplc="0ED8F7D0">
      <w:start w:val="30"/>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82127"/>
    <w:multiLevelType w:val="hybridMultilevel"/>
    <w:tmpl w:val="67302082"/>
    <w:lvl w:ilvl="0" w:tplc="F2FEA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CC0A49"/>
    <w:multiLevelType w:val="hybridMultilevel"/>
    <w:tmpl w:val="309E6B8A"/>
    <w:lvl w:ilvl="0" w:tplc="7B54CD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2"/>
  </w:num>
  <w:num w:numId="5">
    <w:abstractNumId w:val="16"/>
  </w:num>
  <w:num w:numId="6">
    <w:abstractNumId w:val="2"/>
  </w:num>
  <w:num w:numId="7">
    <w:abstractNumId w:val="6"/>
  </w:num>
  <w:num w:numId="8">
    <w:abstractNumId w:val="15"/>
  </w:num>
  <w:num w:numId="9">
    <w:abstractNumId w:val="1"/>
  </w:num>
  <w:num w:numId="10">
    <w:abstractNumId w:val="4"/>
  </w:num>
  <w:num w:numId="11">
    <w:abstractNumId w:val="9"/>
  </w:num>
  <w:num w:numId="12">
    <w:abstractNumId w:val="5"/>
  </w:num>
  <w:num w:numId="13">
    <w:abstractNumId w:val="7"/>
  </w:num>
  <w:num w:numId="14">
    <w:abstractNumId w:val="8"/>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83"/>
    <w:rsid w:val="000047EF"/>
    <w:rsid w:val="0001312E"/>
    <w:rsid w:val="000133B3"/>
    <w:rsid w:val="000313C3"/>
    <w:rsid w:val="000475A9"/>
    <w:rsid w:val="000C0074"/>
    <w:rsid w:val="000D6343"/>
    <w:rsid w:val="000D69ED"/>
    <w:rsid w:val="000F2FB3"/>
    <w:rsid w:val="000F4BD7"/>
    <w:rsid w:val="000F4EED"/>
    <w:rsid w:val="001449E0"/>
    <w:rsid w:val="00144E63"/>
    <w:rsid w:val="001607D1"/>
    <w:rsid w:val="001B5B11"/>
    <w:rsid w:val="00214E28"/>
    <w:rsid w:val="00216C53"/>
    <w:rsid w:val="002215D8"/>
    <w:rsid w:val="00280DEF"/>
    <w:rsid w:val="002A3923"/>
    <w:rsid w:val="002B6F4B"/>
    <w:rsid w:val="002F0170"/>
    <w:rsid w:val="002F1F32"/>
    <w:rsid w:val="002F374F"/>
    <w:rsid w:val="00307220"/>
    <w:rsid w:val="00322B0D"/>
    <w:rsid w:val="0033182F"/>
    <w:rsid w:val="00352E83"/>
    <w:rsid w:val="00363D5D"/>
    <w:rsid w:val="0037278E"/>
    <w:rsid w:val="00382F57"/>
    <w:rsid w:val="003A3250"/>
    <w:rsid w:val="003C2350"/>
    <w:rsid w:val="003D5098"/>
    <w:rsid w:val="00446A27"/>
    <w:rsid w:val="00452BD5"/>
    <w:rsid w:val="0047670F"/>
    <w:rsid w:val="004819BA"/>
    <w:rsid w:val="00481F01"/>
    <w:rsid w:val="004A00C4"/>
    <w:rsid w:val="004A0EC0"/>
    <w:rsid w:val="004A1D5D"/>
    <w:rsid w:val="004B1950"/>
    <w:rsid w:val="004C1E8B"/>
    <w:rsid w:val="00504914"/>
    <w:rsid w:val="00506468"/>
    <w:rsid w:val="005403FF"/>
    <w:rsid w:val="00550258"/>
    <w:rsid w:val="0058298F"/>
    <w:rsid w:val="00592198"/>
    <w:rsid w:val="005A1637"/>
    <w:rsid w:val="005B7B86"/>
    <w:rsid w:val="005C0BD4"/>
    <w:rsid w:val="005D0506"/>
    <w:rsid w:val="006911E8"/>
    <w:rsid w:val="006A7321"/>
    <w:rsid w:val="006B1063"/>
    <w:rsid w:val="006B3F64"/>
    <w:rsid w:val="006E1F2D"/>
    <w:rsid w:val="00734B5F"/>
    <w:rsid w:val="0073723F"/>
    <w:rsid w:val="00755A08"/>
    <w:rsid w:val="007637A3"/>
    <w:rsid w:val="0076395F"/>
    <w:rsid w:val="00783332"/>
    <w:rsid w:val="007B6CDC"/>
    <w:rsid w:val="007C4DD7"/>
    <w:rsid w:val="007F19AB"/>
    <w:rsid w:val="007F4AFE"/>
    <w:rsid w:val="0080125B"/>
    <w:rsid w:val="008145D9"/>
    <w:rsid w:val="0082006C"/>
    <w:rsid w:val="00823A4B"/>
    <w:rsid w:val="008243E6"/>
    <w:rsid w:val="00841A79"/>
    <w:rsid w:val="008F4A41"/>
    <w:rsid w:val="009147DE"/>
    <w:rsid w:val="00931E94"/>
    <w:rsid w:val="00937B79"/>
    <w:rsid w:val="009A251C"/>
    <w:rsid w:val="009A2713"/>
    <w:rsid w:val="009A3762"/>
    <w:rsid w:val="009E4E4E"/>
    <w:rsid w:val="00A30A11"/>
    <w:rsid w:val="00A3301E"/>
    <w:rsid w:val="00A91313"/>
    <w:rsid w:val="00AA55DB"/>
    <w:rsid w:val="00AB4B79"/>
    <w:rsid w:val="00AC7A87"/>
    <w:rsid w:val="00AD7D1E"/>
    <w:rsid w:val="00AF0D50"/>
    <w:rsid w:val="00AF7B04"/>
    <w:rsid w:val="00B21EDC"/>
    <w:rsid w:val="00B362E7"/>
    <w:rsid w:val="00B4608B"/>
    <w:rsid w:val="00B55E09"/>
    <w:rsid w:val="00B7200E"/>
    <w:rsid w:val="00B753A0"/>
    <w:rsid w:val="00B8645A"/>
    <w:rsid w:val="00B92261"/>
    <w:rsid w:val="00BB6BDA"/>
    <w:rsid w:val="00BF6BB1"/>
    <w:rsid w:val="00C0685F"/>
    <w:rsid w:val="00C32C13"/>
    <w:rsid w:val="00CB445C"/>
    <w:rsid w:val="00CC2CC1"/>
    <w:rsid w:val="00CC5420"/>
    <w:rsid w:val="00CD0D30"/>
    <w:rsid w:val="00CD2A4A"/>
    <w:rsid w:val="00CE0FC0"/>
    <w:rsid w:val="00CF2A39"/>
    <w:rsid w:val="00D0791D"/>
    <w:rsid w:val="00D23EC0"/>
    <w:rsid w:val="00D272E6"/>
    <w:rsid w:val="00D42DCE"/>
    <w:rsid w:val="00D95BDB"/>
    <w:rsid w:val="00DA79EF"/>
    <w:rsid w:val="00DC5264"/>
    <w:rsid w:val="00DC539D"/>
    <w:rsid w:val="00DE3480"/>
    <w:rsid w:val="00DE4A4F"/>
    <w:rsid w:val="00E00C21"/>
    <w:rsid w:val="00E330B4"/>
    <w:rsid w:val="00E720FB"/>
    <w:rsid w:val="00E73D5F"/>
    <w:rsid w:val="00E74A95"/>
    <w:rsid w:val="00E766F5"/>
    <w:rsid w:val="00E9303A"/>
    <w:rsid w:val="00ED454D"/>
    <w:rsid w:val="00F26821"/>
    <w:rsid w:val="00F850D3"/>
    <w:rsid w:val="00F867AA"/>
    <w:rsid w:val="00FA2F3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DC4E2B-4E99-435B-84C9-B83D2EB5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B1"/>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styleId="Titre2">
    <w:name w:val="heading 2"/>
    <w:basedOn w:val="Default"/>
    <w:next w:val="Default"/>
    <w:link w:val="Titre2Car"/>
    <w:uiPriority w:val="99"/>
    <w:qFormat/>
    <w:rsid w:val="00D95BDB"/>
    <w:pPr>
      <w:outlineLvl w:val="1"/>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6BB1"/>
    <w:rPr>
      <w:rFonts w:ascii="Tahoma" w:hAnsi="Tahoma" w:cs="Tahoma"/>
      <w:sz w:val="16"/>
      <w:szCs w:val="16"/>
    </w:rPr>
  </w:style>
  <w:style w:type="character" w:customStyle="1" w:styleId="TextedebullesCar">
    <w:name w:val="Texte de bulles Car"/>
    <w:basedOn w:val="Policepardfaut"/>
    <w:link w:val="Textedebulles"/>
    <w:uiPriority w:val="99"/>
    <w:semiHidden/>
    <w:rsid w:val="00BF6BB1"/>
    <w:rPr>
      <w:rFonts w:ascii="Tahoma" w:eastAsiaTheme="minorEastAsia" w:hAnsi="Tahoma" w:cs="Tahoma"/>
      <w:sz w:val="16"/>
      <w:szCs w:val="16"/>
      <w:lang w:eastAsia="fr-FR"/>
    </w:rPr>
  </w:style>
  <w:style w:type="paragraph" w:styleId="Paragraphedeliste">
    <w:name w:val="List Paragraph"/>
    <w:basedOn w:val="Normal"/>
    <w:uiPriority w:val="34"/>
    <w:qFormat/>
    <w:rsid w:val="00307220"/>
    <w:pPr>
      <w:ind w:left="720"/>
      <w:contextualSpacing/>
    </w:pPr>
  </w:style>
  <w:style w:type="paragraph" w:styleId="En-tte">
    <w:name w:val="header"/>
    <w:basedOn w:val="Normal"/>
    <w:link w:val="En-tteCar"/>
    <w:uiPriority w:val="99"/>
    <w:unhideWhenUsed/>
    <w:rsid w:val="00F26821"/>
    <w:pPr>
      <w:tabs>
        <w:tab w:val="center" w:pos="4536"/>
        <w:tab w:val="right" w:pos="9072"/>
      </w:tabs>
    </w:pPr>
  </w:style>
  <w:style w:type="character" w:customStyle="1" w:styleId="En-tteCar">
    <w:name w:val="En-tête Car"/>
    <w:basedOn w:val="Policepardfaut"/>
    <w:link w:val="En-tte"/>
    <w:uiPriority w:val="99"/>
    <w:rsid w:val="00F26821"/>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F26821"/>
    <w:pPr>
      <w:tabs>
        <w:tab w:val="center" w:pos="4536"/>
        <w:tab w:val="right" w:pos="9072"/>
      </w:tabs>
    </w:pPr>
  </w:style>
  <w:style w:type="character" w:customStyle="1" w:styleId="PieddepageCar">
    <w:name w:val="Pied de page Car"/>
    <w:basedOn w:val="Policepardfaut"/>
    <w:link w:val="Pieddepage"/>
    <w:uiPriority w:val="99"/>
    <w:rsid w:val="00F26821"/>
    <w:rPr>
      <w:rFonts w:ascii="Times New Roman" w:eastAsiaTheme="minorEastAsia" w:hAnsi="Times New Roman" w:cs="Times New Roman"/>
      <w:sz w:val="24"/>
      <w:szCs w:val="24"/>
      <w:lang w:eastAsia="fr-FR"/>
    </w:rPr>
  </w:style>
  <w:style w:type="paragraph" w:styleId="Sansinterligne">
    <w:name w:val="No Spacing"/>
    <w:link w:val="SansinterligneCar"/>
    <w:uiPriority w:val="1"/>
    <w:qFormat/>
    <w:rsid w:val="00F2682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26821"/>
    <w:rPr>
      <w:rFonts w:eastAsiaTheme="minorEastAsia"/>
      <w:lang w:eastAsia="fr-FR"/>
    </w:rPr>
  </w:style>
  <w:style w:type="character" w:styleId="Lienhypertexte">
    <w:name w:val="Hyperlink"/>
    <w:basedOn w:val="Policepardfaut"/>
    <w:uiPriority w:val="99"/>
    <w:unhideWhenUsed/>
    <w:rsid w:val="002A3923"/>
    <w:rPr>
      <w:color w:val="0000FF" w:themeColor="hyperlink"/>
      <w:u w:val="single"/>
    </w:rPr>
  </w:style>
  <w:style w:type="paragraph" w:customStyle="1" w:styleId="Default">
    <w:name w:val="Default"/>
    <w:rsid w:val="004A1D5D"/>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9"/>
    <w:rsid w:val="00D95BDB"/>
    <w:rPr>
      <w:rFonts w:ascii="Arial" w:hAnsi="Arial" w:cs="Arial"/>
      <w:sz w:val="24"/>
      <w:szCs w:val="24"/>
    </w:rPr>
  </w:style>
  <w:style w:type="paragraph" w:styleId="Titre">
    <w:name w:val="Title"/>
    <w:basedOn w:val="Normal"/>
    <w:link w:val="TitreCar"/>
    <w:qFormat/>
    <w:rsid w:val="000133B3"/>
    <w:pPr>
      <w:widowControl/>
      <w:autoSpaceDE/>
      <w:autoSpaceDN/>
      <w:adjustRightInd/>
      <w:jc w:val="center"/>
    </w:pPr>
    <w:rPr>
      <w:rFonts w:ascii="TimesNewRoman,Bold" w:eastAsia="Times New Roman" w:hAnsi="TimesNewRoman,Bold"/>
      <w:b/>
      <w:bCs/>
      <w:snapToGrid w:val="0"/>
      <w:color w:val="FF0000"/>
      <w:sz w:val="36"/>
      <w:szCs w:val="36"/>
      <w:lang w:eastAsia="zh-CN"/>
    </w:rPr>
  </w:style>
  <w:style w:type="character" w:customStyle="1" w:styleId="TitreCar">
    <w:name w:val="Titre Car"/>
    <w:basedOn w:val="Policepardfaut"/>
    <w:link w:val="Titre"/>
    <w:rsid w:val="000133B3"/>
    <w:rPr>
      <w:rFonts w:ascii="TimesNewRoman,Bold" w:eastAsia="Times New Roman" w:hAnsi="TimesNewRoman,Bold" w:cs="Times New Roman"/>
      <w:b/>
      <w:bCs/>
      <w:snapToGrid w:val="0"/>
      <w:color w:val="FF0000"/>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0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3</Pages>
  <Words>809</Words>
  <Characters>4612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5411</CharactersWithSpaces>
  <SharedDoc>false</SharedDoc>
  <HLinks>
    <vt:vector size="6" baseType="variant">
      <vt:variant>
        <vt:i4>3473408</vt:i4>
      </vt:variant>
      <vt:variant>
        <vt:i4>0</vt:i4>
      </vt:variant>
      <vt:variant>
        <vt:i4>0</vt:i4>
      </vt:variant>
      <vt:variant>
        <vt:i4>5</vt:i4>
      </vt:variant>
      <vt:variant>
        <vt:lpwstr>mailto:Latreche87bilal@yahoo.fr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CAMELIA MOSBAH</cp:lastModifiedBy>
  <cp:revision>3</cp:revision>
  <cp:lastPrinted>2021-12-07T22:28:00Z</cp:lastPrinted>
  <dcterms:created xsi:type="dcterms:W3CDTF">2016-10-29T12:38:00Z</dcterms:created>
  <dcterms:modified xsi:type="dcterms:W3CDTF">2021-12-08T05:18:00Z</dcterms:modified>
</cp:coreProperties>
</file>