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36" w:rsidRDefault="00CE0E36" w:rsidP="00C9344C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                  </w:t>
      </w:r>
    </w:p>
    <w:p w:rsidR="00CE0E36" w:rsidRDefault="00CE0E36" w:rsidP="00365CE1">
      <w:pPr>
        <w:spacing w:line="360" w:lineRule="auto"/>
        <w:jc w:val="both"/>
        <w:rPr>
          <w:sz w:val="26"/>
          <w:szCs w:val="26"/>
          <w:lang w:val="fr-FR"/>
        </w:rPr>
      </w:pPr>
    </w:p>
    <w:p w:rsidR="00CE0E36" w:rsidRDefault="00CE0E36" w:rsidP="00365CE1">
      <w:pPr>
        <w:pStyle w:val="Titre"/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          La bibliographie </w:t>
      </w:r>
    </w:p>
    <w:p w:rsidR="006F610E" w:rsidRDefault="006F610E" w:rsidP="00365CE1">
      <w:pPr>
        <w:spacing w:line="360" w:lineRule="auto"/>
        <w:jc w:val="both"/>
        <w:rPr>
          <w:lang w:val="fr-FR"/>
        </w:rPr>
      </w:pPr>
    </w:p>
    <w:p w:rsidR="00CE0E36" w:rsidRDefault="00CE0E36" w:rsidP="00365CE1">
      <w:pPr>
        <w:pStyle w:val="Default"/>
        <w:spacing w:line="360" w:lineRule="auto"/>
        <w:jc w:val="both"/>
      </w:pPr>
    </w:p>
    <w:p w:rsidR="00CE0E36" w:rsidRDefault="00CE0E36" w:rsidP="00365CE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Pour bien élaborer sa bibliographie, il faut d’abord c</w:t>
      </w:r>
      <w:r w:rsidRPr="00CE0E36">
        <w:rPr>
          <w:sz w:val="28"/>
          <w:szCs w:val="28"/>
        </w:rPr>
        <w:t>lasser l</w:t>
      </w:r>
      <w:r>
        <w:rPr>
          <w:sz w:val="28"/>
          <w:szCs w:val="28"/>
        </w:rPr>
        <w:t>es références des documents selon la catégorie à laquelle ap</w:t>
      </w:r>
      <w:r w:rsidR="0060156E">
        <w:rPr>
          <w:sz w:val="28"/>
          <w:szCs w:val="28"/>
        </w:rPr>
        <w:t>partiennent ces documents</w:t>
      </w:r>
      <w:r w:rsidR="00365CE1">
        <w:rPr>
          <w:sz w:val="28"/>
          <w:szCs w:val="28"/>
        </w:rPr>
        <w:t xml:space="preserve">. </w:t>
      </w:r>
      <w:r w:rsidR="00365CE1" w:rsidRPr="00365CE1">
        <w:rPr>
          <w:b/>
          <w:bCs/>
          <w:sz w:val="28"/>
          <w:szCs w:val="28"/>
          <w:u w:val="single"/>
        </w:rPr>
        <w:t>Exemple de bibliographie :</w:t>
      </w:r>
      <w:r w:rsidR="00365CE1">
        <w:rPr>
          <w:sz w:val="28"/>
          <w:szCs w:val="28"/>
        </w:rPr>
        <w:t xml:space="preserve"> </w:t>
      </w:r>
    </w:p>
    <w:p w:rsidR="00CE0E36" w:rsidRDefault="00CE0E36" w:rsidP="00365CE1">
      <w:pPr>
        <w:pStyle w:val="Default"/>
        <w:spacing w:line="360" w:lineRule="auto"/>
        <w:jc w:val="both"/>
        <w:rPr>
          <w:sz w:val="28"/>
          <w:szCs w:val="28"/>
        </w:rPr>
      </w:pPr>
      <w:r w:rsidRPr="0060156E">
        <w:rPr>
          <w:b/>
          <w:bCs/>
          <w:sz w:val="28"/>
          <w:szCs w:val="28"/>
        </w:rPr>
        <w:t>Corpus </w:t>
      </w:r>
      <w:r w:rsidR="0060156E">
        <w:rPr>
          <w:sz w:val="28"/>
          <w:szCs w:val="28"/>
        </w:rPr>
        <w:t>: O</w:t>
      </w:r>
      <w:r>
        <w:rPr>
          <w:sz w:val="28"/>
          <w:szCs w:val="28"/>
        </w:rPr>
        <w:t>n place dans cette section les ouvrage</w:t>
      </w:r>
      <w:r w:rsidR="0060156E">
        <w:rPr>
          <w:sz w:val="28"/>
          <w:szCs w:val="28"/>
        </w:rPr>
        <w:t>s</w:t>
      </w:r>
      <w:r>
        <w:rPr>
          <w:sz w:val="28"/>
          <w:szCs w:val="28"/>
        </w:rPr>
        <w:t xml:space="preserve"> du corpus traité.</w:t>
      </w:r>
    </w:p>
    <w:p w:rsidR="00CE0E36" w:rsidRDefault="00CE0E36" w:rsidP="00365CE1">
      <w:pPr>
        <w:pStyle w:val="Default"/>
        <w:spacing w:line="360" w:lineRule="auto"/>
        <w:jc w:val="both"/>
        <w:rPr>
          <w:sz w:val="28"/>
          <w:szCs w:val="28"/>
        </w:rPr>
      </w:pPr>
      <w:r w:rsidRPr="0060156E">
        <w:rPr>
          <w:b/>
          <w:bCs/>
          <w:sz w:val="28"/>
          <w:szCs w:val="28"/>
        </w:rPr>
        <w:t>Œuvres littéraires :</w:t>
      </w:r>
      <w:r>
        <w:rPr>
          <w:sz w:val="28"/>
          <w:szCs w:val="28"/>
        </w:rPr>
        <w:t xml:space="preserve"> autres romans ou textes littéraires consultés</w:t>
      </w:r>
      <w:r w:rsidR="00365CE1">
        <w:rPr>
          <w:sz w:val="28"/>
          <w:szCs w:val="28"/>
        </w:rPr>
        <w:t xml:space="preserve"> et cités</w:t>
      </w:r>
      <w:r>
        <w:rPr>
          <w:sz w:val="28"/>
          <w:szCs w:val="28"/>
        </w:rPr>
        <w:t>.</w:t>
      </w:r>
    </w:p>
    <w:p w:rsidR="00CE0E36" w:rsidRDefault="00042D33" w:rsidP="00365CE1">
      <w:pPr>
        <w:pStyle w:val="Default"/>
        <w:spacing w:line="360" w:lineRule="auto"/>
        <w:jc w:val="both"/>
        <w:rPr>
          <w:sz w:val="28"/>
          <w:szCs w:val="28"/>
        </w:rPr>
      </w:pPr>
      <w:r w:rsidRPr="0060156E">
        <w:rPr>
          <w:b/>
          <w:bCs/>
          <w:sz w:val="28"/>
          <w:szCs w:val="28"/>
        </w:rPr>
        <w:t>Ouvrages et articles de critique littéraire :</w:t>
      </w:r>
      <w:r>
        <w:rPr>
          <w:sz w:val="28"/>
          <w:szCs w:val="28"/>
        </w:rPr>
        <w:t xml:space="preserve"> des ouvrages/articles dont les auteurs traitent ou critiquent une œuvre littéraire donnée</w:t>
      </w:r>
      <w:r w:rsidR="00365CE1">
        <w:rPr>
          <w:sz w:val="28"/>
          <w:szCs w:val="28"/>
        </w:rPr>
        <w:t xml:space="preserve"> ou un genre littéraire donné</w:t>
      </w:r>
      <w:r>
        <w:rPr>
          <w:sz w:val="28"/>
          <w:szCs w:val="28"/>
        </w:rPr>
        <w:t>.</w:t>
      </w:r>
    </w:p>
    <w:p w:rsidR="0060156E" w:rsidRPr="0060156E" w:rsidRDefault="0060156E" w:rsidP="00365CE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 : </w:t>
      </w:r>
    </w:p>
    <w:p w:rsidR="0060156E" w:rsidRPr="0060156E" w:rsidRDefault="0060156E" w:rsidP="00365CE1">
      <w:pPr>
        <w:pStyle w:val="Default"/>
        <w:spacing w:line="360" w:lineRule="auto"/>
        <w:jc w:val="both"/>
        <w:rPr>
          <w:i/>
          <w:iCs/>
          <w:sz w:val="28"/>
          <w:szCs w:val="28"/>
        </w:rPr>
      </w:pPr>
      <w:r w:rsidRPr="0060156E">
        <w:rPr>
          <w:sz w:val="28"/>
          <w:szCs w:val="28"/>
        </w:rPr>
        <w:t>BONN, Charles,</w:t>
      </w:r>
      <w:r w:rsidRPr="0060156E">
        <w:rPr>
          <w:i/>
          <w:iCs/>
          <w:sz w:val="28"/>
          <w:szCs w:val="28"/>
        </w:rPr>
        <w:t xml:space="preserve"> Anthologie de la littérature algérienne</w:t>
      </w:r>
      <w:r w:rsidRPr="0060156E">
        <w:rPr>
          <w:sz w:val="28"/>
          <w:szCs w:val="28"/>
        </w:rPr>
        <w:t xml:space="preserve">, </w:t>
      </w:r>
      <w:r w:rsidRPr="0060156E">
        <w:rPr>
          <w:i/>
          <w:iCs/>
          <w:sz w:val="28"/>
          <w:szCs w:val="28"/>
        </w:rPr>
        <w:t xml:space="preserve">(1950 -1987).  </w:t>
      </w:r>
      <w:r w:rsidRPr="0060156E">
        <w:rPr>
          <w:sz w:val="28"/>
          <w:szCs w:val="28"/>
        </w:rPr>
        <w:t>Paris, Hachette, Le livre de poche 1990.</w:t>
      </w:r>
    </w:p>
    <w:p w:rsidR="00042D33" w:rsidRDefault="00042D33" w:rsidP="00365CE1">
      <w:pPr>
        <w:pStyle w:val="Default"/>
        <w:spacing w:line="360" w:lineRule="auto"/>
        <w:jc w:val="both"/>
        <w:rPr>
          <w:sz w:val="28"/>
          <w:szCs w:val="28"/>
        </w:rPr>
      </w:pPr>
      <w:r w:rsidRPr="0060156E">
        <w:rPr>
          <w:b/>
          <w:bCs/>
          <w:sz w:val="28"/>
          <w:szCs w:val="28"/>
        </w:rPr>
        <w:t>Ouvrages et articles de théorie littéraire :</w:t>
      </w:r>
      <w:r>
        <w:rPr>
          <w:sz w:val="28"/>
          <w:szCs w:val="28"/>
        </w:rPr>
        <w:t xml:space="preserve"> ce sont des documents sur lesquels on se base pour analyser notre corpus.</w:t>
      </w:r>
    </w:p>
    <w:p w:rsidR="0060156E" w:rsidRDefault="0060156E" w:rsidP="00365CE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 :</w:t>
      </w:r>
    </w:p>
    <w:p w:rsidR="0060156E" w:rsidRDefault="0060156E" w:rsidP="00365CE1">
      <w:pPr>
        <w:pStyle w:val="Default"/>
        <w:spacing w:line="360" w:lineRule="auto"/>
        <w:jc w:val="both"/>
        <w:rPr>
          <w:sz w:val="28"/>
          <w:szCs w:val="28"/>
        </w:rPr>
      </w:pPr>
      <w:r w:rsidRPr="0060156E">
        <w:rPr>
          <w:sz w:val="28"/>
          <w:szCs w:val="28"/>
        </w:rPr>
        <w:t>GENETTE, Gérard,</w:t>
      </w:r>
      <w:r w:rsidRPr="0060156E">
        <w:rPr>
          <w:i/>
          <w:iCs/>
          <w:sz w:val="28"/>
          <w:szCs w:val="28"/>
        </w:rPr>
        <w:t xml:space="preserve"> Figures II</w:t>
      </w:r>
      <w:r w:rsidRPr="0060156E">
        <w:rPr>
          <w:sz w:val="28"/>
          <w:szCs w:val="28"/>
        </w:rPr>
        <w:t>, Paris, Seuil, 1969.</w:t>
      </w:r>
    </w:p>
    <w:p w:rsidR="00042D33" w:rsidRDefault="00042D33" w:rsidP="00365CE1">
      <w:pPr>
        <w:pStyle w:val="Default"/>
        <w:spacing w:line="360" w:lineRule="auto"/>
        <w:jc w:val="both"/>
        <w:rPr>
          <w:sz w:val="28"/>
          <w:szCs w:val="28"/>
        </w:rPr>
      </w:pPr>
      <w:r w:rsidRPr="0060156E">
        <w:rPr>
          <w:b/>
          <w:bCs/>
          <w:sz w:val="28"/>
          <w:szCs w:val="28"/>
        </w:rPr>
        <w:t>Ouvrages généraux :</w:t>
      </w:r>
      <w:r>
        <w:rPr>
          <w:sz w:val="28"/>
          <w:szCs w:val="28"/>
        </w:rPr>
        <w:t xml:space="preserve"> autres ouvrages qui ont aidé à analyser le corpus.</w:t>
      </w:r>
      <w:r w:rsidR="0060156E">
        <w:rPr>
          <w:sz w:val="28"/>
          <w:szCs w:val="28"/>
        </w:rPr>
        <w:t xml:space="preserve"> (psychologie, philosophie, linguistique, stylistique… )</w:t>
      </w:r>
    </w:p>
    <w:p w:rsidR="0060156E" w:rsidRDefault="0060156E" w:rsidP="00365CE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 :</w:t>
      </w:r>
    </w:p>
    <w:p w:rsidR="0060156E" w:rsidRDefault="0060156E" w:rsidP="00365CE1">
      <w:pPr>
        <w:pStyle w:val="Default"/>
        <w:spacing w:line="360" w:lineRule="auto"/>
        <w:jc w:val="both"/>
        <w:rPr>
          <w:sz w:val="28"/>
          <w:szCs w:val="28"/>
        </w:rPr>
      </w:pPr>
      <w:r w:rsidRPr="0060156E">
        <w:rPr>
          <w:sz w:val="28"/>
          <w:szCs w:val="28"/>
        </w:rPr>
        <w:t xml:space="preserve">PLATON, </w:t>
      </w:r>
      <w:r w:rsidRPr="0060156E">
        <w:rPr>
          <w:i/>
          <w:iCs/>
          <w:sz w:val="28"/>
          <w:szCs w:val="28"/>
        </w:rPr>
        <w:t>La République</w:t>
      </w:r>
      <w:r w:rsidRPr="0060156E">
        <w:rPr>
          <w:sz w:val="28"/>
          <w:szCs w:val="28"/>
        </w:rPr>
        <w:t>, (trad. Fr, Georges Leroux et Luc Brisson), Éditions Gallimard, Pars, 2008 (1re éd. 2006).</w:t>
      </w:r>
    </w:p>
    <w:p w:rsidR="00042D33" w:rsidRDefault="00042D33" w:rsidP="00365CE1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365CE1">
        <w:rPr>
          <w:b/>
          <w:bCs/>
          <w:sz w:val="28"/>
          <w:szCs w:val="28"/>
        </w:rPr>
        <w:t>Thèses et mémoires de master.</w:t>
      </w:r>
    </w:p>
    <w:p w:rsidR="00365CE1" w:rsidRDefault="00365CE1" w:rsidP="00365CE1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 : </w:t>
      </w:r>
    </w:p>
    <w:p w:rsidR="00365CE1" w:rsidRPr="0001773C" w:rsidRDefault="00365CE1" w:rsidP="00365CE1">
      <w:pPr>
        <w:pStyle w:val="Default"/>
        <w:spacing w:line="360" w:lineRule="auto"/>
        <w:jc w:val="both"/>
        <w:rPr>
          <w:sz w:val="26"/>
          <w:szCs w:val="26"/>
        </w:rPr>
      </w:pPr>
      <w:r w:rsidRPr="00365CE1">
        <w:rPr>
          <w:sz w:val="26"/>
          <w:szCs w:val="26"/>
        </w:rPr>
        <w:lastRenderedPageBreak/>
        <w:t xml:space="preserve">BONN, Charles, </w:t>
      </w:r>
      <w:r w:rsidRPr="00365CE1">
        <w:rPr>
          <w:i/>
          <w:iCs/>
          <w:sz w:val="26"/>
          <w:szCs w:val="26"/>
        </w:rPr>
        <w:t>Le Roman algérien contemporain de langue française : espaces de l’énonciation et productivité des récits</w:t>
      </w:r>
      <w:r w:rsidRPr="00365CE1">
        <w:rPr>
          <w:sz w:val="26"/>
          <w:szCs w:val="26"/>
        </w:rPr>
        <w:t xml:space="preserve">, Thèse de doctorat d’Etat, Université de Bordeaux 3, 1982.  </w:t>
      </w:r>
      <w:r w:rsidRPr="0001773C">
        <w:rPr>
          <w:sz w:val="26"/>
          <w:szCs w:val="26"/>
        </w:rPr>
        <w:t>(www.limag.refer.org/Theses/Bonn/ThesEtat2ePartie.htm)</w:t>
      </w:r>
    </w:p>
    <w:p w:rsidR="00365CE1" w:rsidRPr="00365CE1" w:rsidRDefault="00365CE1" w:rsidP="00365CE1">
      <w:pPr>
        <w:pStyle w:val="Default"/>
        <w:spacing w:line="360" w:lineRule="auto"/>
        <w:jc w:val="both"/>
        <w:rPr>
          <w:sz w:val="26"/>
          <w:szCs w:val="26"/>
        </w:rPr>
      </w:pPr>
    </w:p>
    <w:p w:rsidR="00042D33" w:rsidRDefault="00042D33" w:rsidP="00365CE1">
      <w:pPr>
        <w:pStyle w:val="Default"/>
        <w:spacing w:line="360" w:lineRule="auto"/>
        <w:jc w:val="both"/>
        <w:rPr>
          <w:sz w:val="28"/>
          <w:szCs w:val="28"/>
        </w:rPr>
      </w:pPr>
      <w:r w:rsidRPr="00365CE1">
        <w:rPr>
          <w:b/>
          <w:bCs/>
          <w:sz w:val="28"/>
          <w:szCs w:val="28"/>
        </w:rPr>
        <w:t>Articles et documents en ligne :</w:t>
      </w:r>
      <w:r>
        <w:rPr>
          <w:sz w:val="28"/>
          <w:szCs w:val="28"/>
        </w:rPr>
        <w:t xml:space="preserve"> des documents qu’on consulte en ligne.</w:t>
      </w:r>
    </w:p>
    <w:p w:rsidR="00365CE1" w:rsidRDefault="00365CE1" w:rsidP="00365CE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 :</w:t>
      </w:r>
    </w:p>
    <w:p w:rsidR="00365CE1" w:rsidRPr="00365CE1" w:rsidRDefault="00365CE1" w:rsidP="00365CE1">
      <w:pPr>
        <w:spacing w:line="360" w:lineRule="auto"/>
        <w:ind w:left="709" w:hanging="709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365CE1">
        <w:rPr>
          <w:rFonts w:asciiTheme="majorBidi" w:hAnsiTheme="majorBidi" w:cstheme="majorBidi"/>
          <w:sz w:val="26"/>
          <w:szCs w:val="26"/>
          <w:lang w:val="fr-FR"/>
        </w:rPr>
        <w:t>ARAGON, Sandrine, « Les images de lectrices dans les textes de fiction français du milieu du XVIIe siècle au milieu du XIXe siècle », </w:t>
      </w:r>
      <w:r w:rsidRPr="00365CE1">
        <w:rPr>
          <w:rFonts w:asciiTheme="majorBidi" w:hAnsiTheme="majorBidi" w:cstheme="majorBidi"/>
          <w:i/>
          <w:iCs/>
          <w:sz w:val="26"/>
          <w:szCs w:val="26"/>
          <w:lang w:val="fr-FR"/>
        </w:rPr>
        <w:t>Cahiers de Narratologie</w:t>
      </w:r>
      <w:r w:rsidRPr="00365CE1">
        <w:rPr>
          <w:rFonts w:asciiTheme="majorBidi" w:hAnsiTheme="majorBidi" w:cstheme="majorBidi"/>
          <w:sz w:val="26"/>
          <w:szCs w:val="26"/>
          <w:lang w:val="fr-FR"/>
        </w:rPr>
        <w:t xml:space="preserve">, mis en ligne le 01 janvier 2004, </w:t>
      </w:r>
      <w:hyperlink r:id="rId6" w:history="1">
        <w:r w:rsidRPr="00365CE1">
          <w:rPr>
            <w:rStyle w:val="Lienhypertexte"/>
            <w:rFonts w:asciiTheme="majorBidi" w:hAnsiTheme="majorBidi" w:cstheme="majorBidi"/>
            <w:sz w:val="26"/>
            <w:szCs w:val="26"/>
            <w:lang w:val="fr-FR"/>
          </w:rPr>
          <w:t>http://narratologie.revues.org/6</w:t>
        </w:r>
      </w:hyperlink>
      <w:r w:rsidRPr="00365CE1">
        <w:rPr>
          <w:rFonts w:asciiTheme="majorBidi" w:hAnsiTheme="majorBidi" w:cstheme="majorBidi"/>
          <w:sz w:val="26"/>
          <w:szCs w:val="26"/>
          <w:lang w:val="fr-FR"/>
        </w:rPr>
        <w:t>. Consulté le 03-06-2015.</w:t>
      </w:r>
    </w:p>
    <w:p w:rsidR="00365CE1" w:rsidRDefault="00365CE1" w:rsidP="00365CE1">
      <w:pPr>
        <w:pStyle w:val="Default"/>
        <w:spacing w:line="360" w:lineRule="auto"/>
        <w:jc w:val="both"/>
        <w:rPr>
          <w:sz w:val="28"/>
          <w:szCs w:val="28"/>
        </w:rPr>
      </w:pPr>
    </w:p>
    <w:p w:rsidR="00042D33" w:rsidRPr="00365CE1" w:rsidRDefault="00365CE1" w:rsidP="00365CE1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365CE1">
        <w:rPr>
          <w:b/>
          <w:bCs/>
          <w:sz w:val="28"/>
          <w:szCs w:val="28"/>
        </w:rPr>
        <w:t>Encyclopédies et dictionnaires :</w:t>
      </w:r>
    </w:p>
    <w:p w:rsidR="00365CE1" w:rsidRDefault="00365CE1" w:rsidP="00365CE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 :</w:t>
      </w:r>
    </w:p>
    <w:p w:rsidR="00365CE1" w:rsidRDefault="00365CE1" w:rsidP="00365CE1">
      <w:pPr>
        <w:pStyle w:val="Notedebasdepage"/>
        <w:spacing w:line="360" w:lineRule="auto"/>
        <w:ind w:left="709" w:hanging="709"/>
        <w:jc w:val="both"/>
        <w:rPr>
          <w:rFonts w:asciiTheme="majorBidi" w:hAnsiTheme="majorBidi" w:cstheme="majorBidi"/>
          <w:sz w:val="26"/>
          <w:szCs w:val="26"/>
        </w:rPr>
      </w:pPr>
      <w:r w:rsidRPr="0096085A">
        <w:rPr>
          <w:rFonts w:asciiTheme="majorBidi" w:hAnsiTheme="majorBidi" w:cstheme="majorBidi"/>
          <w:sz w:val="26"/>
          <w:szCs w:val="26"/>
        </w:rPr>
        <w:t>MOLINI</w:t>
      </w:r>
      <w:r w:rsidRPr="00AA5B07">
        <w:rPr>
          <w:rFonts w:asciiTheme="majorBidi" w:hAnsiTheme="majorBidi" w:cstheme="majorBidi"/>
          <w:sz w:val="26"/>
          <w:szCs w:val="26"/>
        </w:rPr>
        <w:t>É</w:t>
      </w:r>
      <w:r w:rsidRPr="0096085A">
        <w:rPr>
          <w:rFonts w:asciiTheme="majorBidi" w:hAnsiTheme="majorBidi" w:cstheme="majorBidi"/>
          <w:sz w:val="26"/>
          <w:szCs w:val="26"/>
        </w:rPr>
        <w:t xml:space="preserve">, Georges, </w:t>
      </w:r>
      <w:r w:rsidRPr="0096085A">
        <w:rPr>
          <w:rFonts w:asciiTheme="majorBidi" w:hAnsiTheme="majorBidi" w:cstheme="majorBidi"/>
          <w:i/>
          <w:iCs/>
          <w:sz w:val="26"/>
          <w:szCs w:val="26"/>
        </w:rPr>
        <w:t>Dictionnaire de rhétorique</w:t>
      </w:r>
      <w:r w:rsidRPr="0096085A">
        <w:rPr>
          <w:rFonts w:asciiTheme="majorBidi" w:hAnsiTheme="majorBidi" w:cstheme="majorBidi"/>
          <w:sz w:val="26"/>
          <w:szCs w:val="26"/>
        </w:rPr>
        <w:t>, Librairie Générale Française, Paris, 1992</w:t>
      </w:r>
      <w:r>
        <w:rPr>
          <w:rFonts w:asciiTheme="majorBidi" w:hAnsiTheme="majorBidi" w:cstheme="majorBidi"/>
          <w:sz w:val="26"/>
          <w:szCs w:val="26"/>
        </w:rPr>
        <w:t>.</w:t>
      </w:r>
    </w:p>
    <w:p w:rsidR="00365CE1" w:rsidRDefault="00365CE1" w:rsidP="00365CE1">
      <w:pPr>
        <w:pStyle w:val="Default"/>
        <w:spacing w:line="360" w:lineRule="auto"/>
        <w:jc w:val="both"/>
        <w:rPr>
          <w:sz w:val="28"/>
          <w:szCs w:val="28"/>
        </w:rPr>
      </w:pPr>
    </w:p>
    <w:p w:rsidR="00042D33" w:rsidRDefault="00042D33" w:rsidP="00365CE1">
      <w:pPr>
        <w:pStyle w:val="Default"/>
        <w:spacing w:line="360" w:lineRule="auto"/>
        <w:jc w:val="both"/>
        <w:rPr>
          <w:sz w:val="28"/>
          <w:szCs w:val="28"/>
        </w:rPr>
      </w:pPr>
      <w:r w:rsidRPr="00365CE1">
        <w:rPr>
          <w:b/>
          <w:bCs/>
          <w:sz w:val="28"/>
          <w:szCs w:val="28"/>
        </w:rPr>
        <w:t>Sitographie :</w:t>
      </w:r>
      <w:r>
        <w:rPr>
          <w:sz w:val="28"/>
          <w:szCs w:val="28"/>
        </w:rPr>
        <w:t xml:space="preserve"> </w:t>
      </w:r>
      <w:r w:rsidR="00365CE1">
        <w:rPr>
          <w:sz w:val="28"/>
          <w:szCs w:val="28"/>
        </w:rPr>
        <w:t>autres sites internet consultés ( avec mention du nom de l’auteur, la date de mise en ligne et la date de consultation du site).</w:t>
      </w:r>
    </w:p>
    <w:p w:rsidR="00042D33" w:rsidRDefault="00042D33" w:rsidP="00365CE1">
      <w:pPr>
        <w:pStyle w:val="Default"/>
        <w:spacing w:line="360" w:lineRule="auto"/>
        <w:jc w:val="both"/>
        <w:rPr>
          <w:sz w:val="28"/>
          <w:szCs w:val="28"/>
        </w:rPr>
      </w:pPr>
    </w:p>
    <w:p w:rsidR="00CE0E36" w:rsidRPr="00365CE1" w:rsidRDefault="00CE0E36" w:rsidP="00365CE1">
      <w:pPr>
        <w:pStyle w:val="Titre"/>
        <w:spacing w:line="360" w:lineRule="auto"/>
        <w:jc w:val="both"/>
        <w:rPr>
          <w:lang w:val="fr-FR"/>
        </w:rPr>
      </w:pPr>
      <w:r w:rsidRPr="00365CE1">
        <w:rPr>
          <w:lang w:val="fr-FR"/>
        </w:rPr>
        <w:t xml:space="preserve">                        Les annexes </w:t>
      </w:r>
    </w:p>
    <w:p w:rsidR="00CE0E36" w:rsidRPr="00CE0E36" w:rsidRDefault="00CE0E36" w:rsidP="00365CE1">
      <w:pPr>
        <w:pStyle w:val="Default"/>
        <w:spacing w:after="27" w:line="360" w:lineRule="auto"/>
        <w:jc w:val="both"/>
        <w:rPr>
          <w:sz w:val="28"/>
          <w:szCs w:val="28"/>
        </w:rPr>
      </w:pPr>
      <w:r w:rsidRPr="00CE0E36">
        <w:rPr>
          <w:sz w:val="28"/>
          <w:szCs w:val="28"/>
        </w:rPr>
        <w:t xml:space="preserve">◦ On insère dans une annexe, de l'information qui aide à comprendre la recherche: des tableaux, schémas, </w:t>
      </w:r>
      <w:r w:rsidR="00365CE1">
        <w:rPr>
          <w:sz w:val="28"/>
          <w:szCs w:val="28"/>
        </w:rPr>
        <w:t xml:space="preserve">images, photos, </w:t>
      </w:r>
      <w:r w:rsidRPr="00CE0E36">
        <w:rPr>
          <w:sz w:val="28"/>
          <w:szCs w:val="28"/>
        </w:rPr>
        <w:t>statistiques, figures</w:t>
      </w:r>
      <w:r w:rsidR="00365CE1">
        <w:rPr>
          <w:sz w:val="28"/>
          <w:szCs w:val="28"/>
        </w:rPr>
        <w:t xml:space="preserve">, articles, interviews </w:t>
      </w:r>
      <w:r w:rsidRPr="00CE0E36">
        <w:rPr>
          <w:sz w:val="28"/>
          <w:szCs w:val="28"/>
        </w:rPr>
        <w:t xml:space="preserve"> ou questionnaires. </w:t>
      </w:r>
    </w:p>
    <w:p w:rsidR="00CE0E36" w:rsidRPr="00365CE1" w:rsidRDefault="00CE0E36" w:rsidP="0013571F">
      <w:pPr>
        <w:pStyle w:val="Default"/>
        <w:spacing w:line="360" w:lineRule="auto"/>
        <w:jc w:val="both"/>
        <w:rPr>
          <w:sz w:val="28"/>
          <w:szCs w:val="28"/>
        </w:rPr>
      </w:pPr>
      <w:r w:rsidRPr="00CE0E36">
        <w:rPr>
          <w:sz w:val="28"/>
          <w:szCs w:val="28"/>
        </w:rPr>
        <w:t>◦ Les annexes sont placées par ordre de mention dans le texte</w:t>
      </w:r>
      <w:r w:rsidR="0001773C">
        <w:rPr>
          <w:sz w:val="28"/>
          <w:szCs w:val="28"/>
        </w:rPr>
        <w:t xml:space="preserve"> à la fin du mémoire après la bibliographie et avant les trois résumés ( français-arabe-anglais)</w:t>
      </w:r>
      <w:r w:rsidRPr="00CE0E36">
        <w:rPr>
          <w:sz w:val="28"/>
          <w:szCs w:val="28"/>
        </w:rPr>
        <w:t xml:space="preserve">. </w:t>
      </w:r>
      <w:r w:rsidR="00365CE1" w:rsidRPr="00365CE1">
        <w:rPr>
          <w:sz w:val="28"/>
          <w:szCs w:val="28"/>
        </w:rPr>
        <w:t xml:space="preserve"> </w:t>
      </w:r>
    </w:p>
    <w:sectPr w:rsidR="00CE0E36" w:rsidRPr="00365CE1" w:rsidSect="006F610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C8C" w:rsidRDefault="00506C8C" w:rsidP="00C9344C">
      <w:r>
        <w:separator/>
      </w:r>
    </w:p>
  </w:endnote>
  <w:endnote w:type="continuationSeparator" w:id="1">
    <w:p w:rsidR="00506C8C" w:rsidRDefault="00506C8C" w:rsidP="00C93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C8C" w:rsidRDefault="00506C8C" w:rsidP="00C9344C">
      <w:r>
        <w:separator/>
      </w:r>
    </w:p>
  </w:footnote>
  <w:footnote w:type="continuationSeparator" w:id="1">
    <w:p w:rsidR="00506C8C" w:rsidRDefault="00506C8C" w:rsidP="00C93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4C" w:rsidRPr="00C9344C" w:rsidRDefault="00C9344C" w:rsidP="00C9344C">
    <w:pPr>
      <w:pStyle w:val="En-tte"/>
      <w:rPr>
        <w:lang w:val="fr-FR"/>
      </w:rPr>
    </w:pPr>
    <w:r w:rsidRPr="00C9344C">
      <w:rPr>
        <w:lang w:val="fr-FR"/>
      </w:rPr>
      <w:t>Université l’Arbi Ben M’Hidi Oum El Bouaghi.</w:t>
    </w:r>
  </w:p>
  <w:p w:rsidR="00C9344C" w:rsidRPr="00C9344C" w:rsidRDefault="00C9344C" w:rsidP="00C9344C">
    <w:pPr>
      <w:pStyle w:val="En-tte"/>
      <w:rPr>
        <w:lang w:val="fr-FR"/>
      </w:rPr>
    </w:pPr>
    <w:r w:rsidRPr="00C9344C">
      <w:rPr>
        <w:lang w:val="fr-FR"/>
      </w:rPr>
      <w:t>Faculté des Lettres et des Langues. Département de Langue Française.</w:t>
    </w:r>
  </w:p>
  <w:p w:rsidR="00C9344C" w:rsidRPr="00C9344C" w:rsidRDefault="00C9344C" w:rsidP="00C9344C">
    <w:pPr>
      <w:pStyle w:val="En-tte"/>
      <w:rPr>
        <w:lang w:val="fr-FR"/>
      </w:rPr>
    </w:pPr>
    <w:r w:rsidRPr="00C9344C">
      <w:rPr>
        <w:lang w:val="fr-FR"/>
      </w:rPr>
      <w:t>Enseignante : Dr. ATOUI Nour El Houda.</w:t>
    </w:r>
  </w:p>
  <w:p w:rsidR="00C9344C" w:rsidRPr="00C9344C" w:rsidRDefault="00C9344C" w:rsidP="00C9344C">
    <w:pPr>
      <w:pStyle w:val="En-tte"/>
      <w:rPr>
        <w:lang w:val="fr-FR"/>
      </w:rPr>
    </w:pPr>
    <w:r w:rsidRPr="00C9344C">
      <w:rPr>
        <w:lang w:val="fr-FR"/>
      </w:rPr>
      <w:t>Module : Méthodologie de la recherche</w:t>
    </w:r>
  </w:p>
  <w:p w:rsidR="00C9344C" w:rsidRDefault="00C9344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E0E36"/>
    <w:rsid w:val="0001773C"/>
    <w:rsid w:val="00042D33"/>
    <w:rsid w:val="00063D63"/>
    <w:rsid w:val="0013571F"/>
    <w:rsid w:val="00365CE1"/>
    <w:rsid w:val="00506C8C"/>
    <w:rsid w:val="00586C67"/>
    <w:rsid w:val="0060156E"/>
    <w:rsid w:val="006F610E"/>
    <w:rsid w:val="009A0BC5"/>
    <w:rsid w:val="00AC444C"/>
    <w:rsid w:val="00BA7DA6"/>
    <w:rsid w:val="00C9344C"/>
    <w:rsid w:val="00CE0E36"/>
    <w:rsid w:val="00D03BF3"/>
    <w:rsid w:val="00DC235D"/>
    <w:rsid w:val="00FD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36"/>
    <w:rPr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06F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06FA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06F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06F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Arial"/>
      <w:b/>
      <w:bCs/>
      <w:sz w:val="28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06FA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Arial"/>
      <w:b/>
      <w:bCs/>
      <w:i/>
      <w:iCs/>
      <w:sz w:val="26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FD06FA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06FA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Arial"/>
      <w:sz w:val="24"/>
      <w:szCs w:val="24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06FA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Arial"/>
      <w:i/>
      <w:iCs/>
      <w:sz w:val="24"/>
      <w:szCs w:val="24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06FA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06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D06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D06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D06FA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D06FA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FD06FA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D06FA"/>
    <w:rPr>
      <w:rFonts w:ascii="Calibri" w:eastAsia="Times New Roman" w:hAnsi="Calibri" w:cs="Arial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D06FA"/>
    <w:rPr>
      <w:rFonts w:ascii="Calibri" w:eastAsia="Times New Roman" w:hAnsi="Calibri" w:cs="Arial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D06FA"/>
    <w:rPr>
      <w:rFonts w:ascii="Cambria" w:eastAsia="Times New Roman" w:hAnsi="Cambria" w:cs="Times New Roman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CE0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E0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customStyle="1" w:styleId="Default">
    <w:name w:val="Default"/>
    <w:rsid w:val="00CE0E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5CE1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365CE1"/>
    <w:rPr>
      <w:rFonts w:ascii="Helvetica" w:eastAsiaTheme="minorHAnsi" w:hAnsi="Helvetica" w:cs="Helvetica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5CE1"/>
    <w:rPr>
      <w:rFonts w:ascii="Helvetica" w:eastAsiaTheme="minorHAnsi" w:hAnsi="Helvetica" w:cs="Helvetica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C9344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9344C"/>
    <w:rPr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9344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344C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rratologie.revues.org/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7</cp:revision>
  <dcterms:created xsi:type="dcterms:W3CDTF">2020-09-17T18:24:00Z</dcterms:created>
  <dcterms:modified xsi:type="dcterms:W3CDTF">2021-11-03T09:37:00Z</dcterms:modified>
</cp:coreProperties>
</file>