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6BD" w:rsidRPr="007C16BD" w:rsidRDefault="00CC3416" w:rsidP="007C16BD">
      <w:pPr>
        <w:bidi/>
        <w:spacing w:before="100" w:beforeAutospacing="1"/>
        <w:ind w:firstLine="566"/>
        <w:rPr>
          <w:rFonts w:ascii="Traditional Arabic" w:eastAsia="Times New Roman" w:hAnsi="Traditional Arabic" w:cs="Traditional Arabic"/>
          <w:sz w:val="36"/>
          <w:szCs w:val="36"/>
          <w:lang w:eastAsia="fr-FR"/>
        </w:rPr>
      </w:pPr>
      <w:bookmarkStart w:id="0" w:name="OLE_LINK2"/>
      <w:bookmarkStart w:id="1" w:name="OLE_LINK1"/>
      <w:r>
        <w:rPr>
          <w:rFonts w:ascii="Traditional Arabic" w:eastAsia="Times New Roman" w:hAnsi="Traditional Arabic" w:cs="Traditional Arabic" w:hint="cs"/>
          <w:b/>
          <w:bCs/>
          <w:sz w:val="36"/>
          <w:szCs w:val="36"/>
          <w:rtl/>
          <w:lang w:eastAsia="fr-FR" w:bidi="ar-DZ"/>
        </w:rPr>
        <w:t>المحاضرة رقم1</w:t>
      </w:r>
      <w:r>
        <w:rPr>
          <w:rFonts w:ascii="Traditional Arabic" w:eastAsia="Times New Roman" w:hAnsi="Traditional Arabic" w:cs="Traditional Arabic"/>
          <w:b/>
          <w:bCs/>
          <w:sz w:val="36"/>
          <w:szCs w:val="36"/>
          <w:lang w:eastAsia="fr-FR" w:bidi="ar-DZ"/>
        </w:rPr>
        <w:t xml:space="preserve">      </w:t>
      </w:r>
      <w:r w:rsidR="007C16BD" w:rsidRPr="007C16BD">
        <w:rPr>
          <w:rFonts w:ascii="Traditional Arabic" w:eastAsia="Times New Roman" w:hAnsi="Traditional Arabic" w:cs="Traditional Arabic"/>
          <w:b/>
          <w:bCs/>
          <w:sz w:val="36"/>
          <w:szCs w:val="36"/>
          <w:rtl/>
          <w:lang w:eastAsia="fr-FR" w:bidi="ar-DZ"/>
        </w:rPr>
        <w:t>التركيب بين القدامى والمحدثين</w:t>
      </w:r>
      <w:bookmarkEnd w:id="0"/>
      <w:bookmarkEnd w:id="1"/>
    </w:p>
    <w:p w:rsidR="007C16BD" w:rsidRPr="007C16BD" w:rsidRDefault="007C16BD" w:rsidP="00CC3416">
      <w:pPr>
        <w:bidi/>
        <w:spacing w:before="100" w:beforeAutospacing="1"/>
        <w:ind w:firstLine="0"/>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w:t>
      </w:r>
      <w:r w:rsidRPr="007C16BD">
        <w:rPr>
          <w:rFonts w:ascii="Traditional Arabic" w:eastAsia="Times New Roman" w:hAnsi="Traditional Arabic" w:cs="Traditional Arabic"/>
          <w:sz w:val="36"/>
          <w:szCs w:val="36"/>
          <w:rtl/>
          <w:lang w:eastAsia="fr-FR" w:bidi="ar-DZ"/>
        </w:rPr>
        <w:t xml:space="preserve">لقد عالج النّحاة القدامى،والدّارسون المحدثون التّركيب معالجة شاملة، شملت جوانبه المختلفة، أما القدامى فقد اتّصفت معالجتهم بالدّقة والشمول، حيث حلّلوا التّركيب، وابرزوا الوظيفة النّحوية للكلمات المكونة له، على أساس أبوابها النّحوية داخل نسيج العلاقات التي تربط الكلمات بعضها ببعض، والتي تتحقق بها الفائدة، أو المعنى الذي يحسن السكوت عليه ؛ أما </w:t>
      </w:r>
      <w:r w:rsidRPr="007C16BD">
        <w:rPr>
          <w:rFonts w:ascii="Traditional Arabic" w:eastAsia="Times New Roman" w:hAnsi="Traditional Arabic" w:cs="Traditional Arabic"/>
          <w:sz w:val="36"/>
          <w:szCs w:val="36"/>
          <w:rtl/>
          <w:lang w:eastAsia="fr-FR"/>
        </w:rPr>
        <w:t xml:space="preserve">المحدثون  فنراهم منقسمين فاختلفت تعاريفهم على اختلاف مدارسهم ما بين مؤيد ومنتقد، وهذا ما </w:t>
      </w:r>
      <w:r w:rsidRPr="007C16BD">
        <w:rPr>
          <w:rFonts w:ascii="Traditional Arabic" w:eastAsia="Times New Roman" w:hAnsi="Traditional Arabic" w:cs="Traditional Arabic"/>
          <w:sz w:val="36"/>
          <w:szCs w:val="36"/>
          <w:rtl/>
          <w:lang w:val="en-US" w:eastAsia="fr-FR"/>
        </w:rPr>
        <w:t>حاولت</w:t>
      </w:r>
      <w:r w:rsidRPr="007C16BD">
        <w:rPr>
          <w:rFonts w:ascii="Traditional Arabic" w:eastAsia="Times New Roman" w:hAnsi="Traditional Arabic" w:cs="Traditional Arabic"/>
          <w:sz w:val="36"/>
          <w:szCs w:val="36"/>
          <w:rtl/>
          <w:lang w:eastAsia="fr-FR"/>
        </w:rPr>
        <w:t xml:space="preserve"> إبرازه عند دراسة نقطتين مهمتين</w:t>
      </w:r>
      <w:r w:rsidRPr="007C16BD">
        <w:rPr>
          <w:rFonts w:ascii="Traditional Arabic" w:eastAsia="Times New Roman" w:hAnsi="Traditional Arabic" w:cs="Traditional Arabic"/>
          <w:color w:val="C00000"/>
          <w:sz w:val="36"/>
          <w:szCs w:val="36"/>
          <w:lang w:val="en-US" w:eastAsia="fr-FR"/>
        </w:rPr>
        <w:t xml:space="preserve"> :</w:t>
      </w:r>
      <w:r w:rsidRPr="007C16BD">
        <w:rPr>
          <w:rFonts w:ascii="Traditional Arabic" w:eastAsia="Times New Roman" w:hAnsi="Traditional Arabic" w:cs="Traditional Arabic"/>
          <w:sz w:val="36"/>
          <w:szCs w:val="36"/>
          <w:rtl/>
          <w:lang w:eastAsia="fr-FR"/>
        </w:rPr>
        <w:t xml:space="preserve">التركيب </w:t>
      </w:r>
      <w:r w:rsidRPr="007C16BD">
        <w:rPr>
          <w:rFonts w:ascii="Traditional Arabic" w:eastAsia="Times New Roman" w:hAnsi="Traditional Arabic" w:cs="Traditional Arabic"/>
          <w:sz w:val="36"/>
          <w:szCs w:val="36"/>
          <w:lang w:val="en-US" w:eastAsia="fr-FR"/>
        </w:rPr>
        <w:t> </w:t>
      </w:r>
      <w:r w:rsidRPr="007C16BD">
        <w:rPr>
          <w:rFonts w:ascii="Traditional Arabic" w:eastAsia="Times New Roman" w:hAnsi="Traditional Arabic" w:cs="Traditional Arabic"/>
          <w:sz w:val="36"/>
          <w:szCs w:val="36"/>
          <w:rtl/>
          <w:lang w:val="en-US" w:eastAsia="fr-FR"/>
        </w:rPr>
        <w:t>و</w:t>
      </w:r>
      <w:r w:rsidRPr="007C16BD">
        <w:rPr>
          <w:rFonts w:ascii="Traditional Arabic" w:eastAsia="Times New Roman" w:hAnsi="Traditional Arabic" w:cs="Traditional Arabic"/>
          <w:sz w:val="36"/>
          <w:szCs w:val="36"/>
          <w:rtl/>
          <w:lang w:eastAsia="fr-FR"/>
        </w:rPr>
        <w:t xml:space="preserve">الجملة.    </w:t>
      </w:r>
    </w:p>
    <w:p w:rsidR="007C16BD" w:rsidRPr="007C16BD" w:rsidRDefault="007C16BD" w:rsidP="007C16BD">
      <w:pPr>
        <w:bidi/>
        <w:spacing w:before="100" w:beforeAutospacing="1"/>
        <w:ind w:firstLine="32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b/>
          <w:bCs/>
          <w:sz w:val="36"/>
          <w:szCs w:val="36"/>
          <w:rtl/>
          <w:lang w:eastAsia="fr-FR"/>
        </w:rPr>
        <w:t>أوّلا : التّركيب بين اللّغة والاصطلاح</w:t>
      </w:r>
      <w:r w:rsidRPr="007C16BD">
        <w:rPr>
          <w:rFonts w:ascii="Traditional Arabic" w:eastAsia="Times New Roman" w:hAnsi="Traditional Arabic" w:cs="Traditional Arabic"/>
          <w:b/>
          <w:bCs/>
          <w:sz w:val="36"/>
          <w:szCs w:val="36"/>
          <w:lang w:val="en-US" w:eastAsia="fr-FR"/>
        </w:rPr>
        <w:t>:</w:t>
      </w:r>
    </w:p>
    <w:p w:rsidR="007C16BD" w:rsidRPr="007C16BD" w:rsidRDefault="007C16BD" w:rsidP="007C16BD">
      <w:pPr>
        <w:bidi/>
        <w:spacing w:before="100" w:beforeAutospacing="1"/>
        <w:ind w:firstLine="32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إنّ معالجة أيّ موضوع يستدعي الولوج في معانيه اللّغوية والاصطلاحية</w:t>
      </w:r>
      <w:r w:rsidRPr="007C16BD">
        <w:rPr>
          <w:rFonts w:ascii="Traditional Arabic" w:eastAsia="Times New Roman" w:hAnsi="Traditional Arabic" w:cs="Traditional Arabic"/>
          <w:sz w:val="36"/>
          <w:szCs w:val="36"/>
          <w:rtl/>
          <w:lang w:val="en-US" w:eastAsia="fr-FR"/>
        </w:rPr>
        <w:t>،</w:t>
      </w:r>
      <w:r w:rsidRPr="007C16BD">
        <w:rPr>
          <w:rFonts w:ascii="Traditional Arabic" w:eastAsia="Times New Roman" w:hAnsi="Traditional Arabic" w:cs="Traditional Arabic"/>
          <w:sz w:val="36"/>
          <w:szCs w:val="36"/>
          <w:rtl/>
          <w:lang w:eastAsia="fr-FR"/>
        </w:rPr>
        <w:t xml:space="preserve"> لكي تتوضّح مسالكه، لهذا </w:t>
      </w:r>
      <w:r w:rsidRPr="007C16BD">
        <w:rPr>
          <w:rFonts w:ascii="Traditional Arabic" w:eastAsia="Times New Roman" w:hAnsi="Traditional Arabic" w:cs="Traditional Arabic"/>
          <w:sz w:val="36"/>
          <w:szCs w:val="36"/>
          <w:rtl/>
          <w:lang w:val="en-US" w:eastAsia="fr-FR"/>
        </w:rPr>
        <w:t>حاولت</w:t>
      </w:r>
      <w:r w:rsidRPr="007C16BD">
        <w:rPr>
          <w:rFonts w:ascii="Traditional Arabic" w:eastAsia="Times New Roman" w:hAnsi="Traditional Arabic" w:cs="Traditional Arabic"/>
          <w:sz w:val="36"/>
          <w:szCs w:val="36"/>
          <w:rtl/>
          <w:lang w:eastAsia="fr-FR"/>
        </w:rPr>
        <w:t xml:space="preserve"> أن </w:t>
      </w:r>
      <w:r w:rsidRPr="007C16BD">
        <w:rPr>
          <w:rFonts w:ascii="Traditional Arabic" w:eastAsia="Times New Roman" w:hAnsi="Traditional Arabic" w:cs="Traditional Arabic"/>
          <w:sz w:val="36"/>
          <w:szCs w:val="36"/>
          <w:rtl/>
          <w:lang w:val="en-US" w:eastAsia="fr-FR"/>
        </w:rPr>
        <w:t>انطلق</w:t>
      </w:r>
      <w:r w:rsidRPr="007C16BD">
        <w:rPr>
          <w:rFonts w:ascii="Traditional Arabic" w:eastAsia="Times New Roman" w:hAnsi="Traditional Arabic" w:cs="Traditional Arabic"/>
          <w:sz w:val="36"/>
          <w:szCs w:val="36"/>
          <w:rtl/>
          <w:lang w:eastAsia="fr-FR"/>
        </w:rPr>
        <w:t xml:space="preserve"> من العامّ إلى الخاصّ، غير </w:t>
      </w:r>
      <w:r w:rsidRPr="007C16BD">
        <w:rPr>
          <w:rFonts w:ascii="Traditional Arabic" w:eastAsia="Times New Roman" w:hAnsi="Traditional Arabic" w:cs="Traditional Arabic"/>
          <w:sz w:val="36"/>
          <w:szCs w:val="36"/>
          <w:rtl/>
          <w:lang w:val="en-US" w:eastAsia="fr-FR"/>
        </w:rPr>
        <w:t>أننياصطدمت</w:t>
      </w:r>
      <w:r w:rsidRPr="007C16BD">
        <w:rPr>
          <w:rFonts w:ascii="Traditional Arabic" w:eastAsia="Times New Roman" w:hAnsi="Traditional Arabic" w:cs="Traditional Arabic"/>
          <w:sz w:val="36"/>
          <w:szCs w:val="36"/>
          <w:rtl/>
          <w:lang w:eastAsia="fr-FR"/>
        </w:rPr>
        <w:t>بتباين استعمالات التّركيب ومفاهيمه، ولعلّه أكثر المصطلحات اضطرابا وتداخلا.</w:t>
      </w:r>
    </w:p>
    <w:p w:rsidR="007C16BD" w:rsidRPr="007C16BD" w:rsidRDefault="007C16BD" w:rsidP="007C16BD">
      <w:pPr>
        <w:bidi/>
        <w:ind w:left="785" w:firstLine="32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أ‌-      التّـركيب لغة  :</w:t>
      </w:r>
    </w:p>
    <w:p w:rsidR="007C16BD" w:rsidRPr="007C16BD" w:rsidRDefault="007C16BD" w:rsidP="007C16BD">
      <w:pPr>
        <w:bidi/>
        <w:spacing w:before="100" w:beforeAutospacing="1"/>
        <w:ind w:firstLine="32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تغصّ بطون المعجمات اللّغوية بمعاني التركيب؛ فقد جاء في الصّحاح، ركّبه تركيبا إذا وضع بعضه على بعض</w:t>
      </w:r>
      <w:r w:rsidRPr="007C16BD">
        <w:rPr>
          <w:rFonts w:ascii="Traditional Arabic" w:eastAsia="Times New Roman" w:hAnsi="Traditional Arabic" w:cs="Traditional Arabic"/>
          <w:sz w:val="36"/>
          <w:szCs w:val="36"/>
          <w:lang w:val="en-US" w:eastAsia="fr-FR"/>
        </w:rPr>
        <w:endnoteReference w:customMarkFollows="1" w:id="2"/>
        <w:t>[1]</w:t>
      </w:r>
      <w:r w:rsidRPr="007C16BD">
        <w:rPr>
          <w:rFonts w:ascii="Traditional Arabic" w:eastAsia="Times New Roman" w:hAnsi="Traditional Arabic" w:cs="Traditional Arabic"/>
          <w:sz w:val="36"/>
          <w:szCs w:val="36"/>
          <w:rtl/>
          <w:lang w:eastAsia="fr-FR"/>
        </w:rPr>
        <w:t>، وفي اللّسان، تراكب السّحاب وتراكم إذا صار بعضه فوق بعض</w:t>
      </w:r>
      <w:r w:rsidRPr="007C16BD">
        <w:rPr>
          <w:rFonts w:ascii="Traditional Arabic" w:eastAsia="Times New Roman" w:hAnsi="Traditional Arabic" w:cs="Traditional Arabic"/>
          <w:sz w:val="36"/>
          <w:szCs w:val="36"/>
          <w:vertAlign w:val="superscript"/>
          <w:lang w:val="en-US" w:eastAsia="fr-FR"/>
        </w:rPr>
        <w:endnoteReference w:customMarkFollows="1" w:id="3"/>
        <w:t>[2]</w:t>
      </w:r>
      <w:r w:rsidRPr="007C16BD">
        <w:rPr>
          <w:rFonts w:ascii="Traditional Arabic" w:eastAsia="Times New Roman" w:hAnsi="Traditional Arabic" w:cs="Traditional Arabic"/>
          <w:sz w:val="36"/>
          <w:szCs w:val="36"/>
          <w:rtl/>
          <w:lang w:eastAsia="fr-FR"/>
        </w:rPr>
        <w:t xml:space="preserve">. </w:t>
      </w:r>
    </w:p>
    <w:p w:rsidR="007C16BD" w:rsidRPr="007C16BD" w:rsidRDefault="007C16BD" w:rsidP="007C16BD">
      <w:pPr>
        <w:bidi/>
        <w:spacing w:before="100" w:beforeAutospacing="1"/>
        <w:ind w:firstLine="32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أمّا المُركّب فيأتي دالاّ على الأصل والمنبت؛ إذ تقول: فلان كريم المركب، إذا أردت به كريم أصل منبته في قومه</w:t>
      </w:r>
      <w:r w:rsidRPr="007C16BD">
        <w:rPr>
          <w:rFonts w:ascii="Traditional Arabic" w:eastAsia="Times New Roman" w:hAnsi="Traditional Arabic" w:cs="Traditional Arabic"/>
          <w:sz w:val="36"/>
          <w:szCs w:val="36"/>
          <w:vertAlign w:val="superscript"/>
          <w:lang w:val="en-US" w:eastAsia="fr-FR"/>
        </w:rPr>
        <w:endnoteReference w:customMarkFollows="1" w:id="4"/>
        <w:t>[3]</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32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والتّركيب بمعنى الضّم والتّأليف كذلك، فقد جاء في المعجم الوسيط:" ركب الشيء ... ضمّه إلى غيره فصار بمثابة الشّيء الواحد في المنظر، وركّب الدّواء ونحوه ألّفه من مواد مختلفة.</w:t>
      </w:r>
      <w:r w:rsidRPr="007C16BD">
        <w:rPr>
          <w:rFonts w:ascii="Traditional Arabic" w:eastAsia="Times New Roman" w:hAnsi="Traditional Arabic" w:cs="Traditional Arabic"/>
          <w:sz w:val="36"/>
          <w:szCs w:val="36"/>
          <w:vertAlign w:val="superscript"/>
          <w:lang w:val="en-US" w:eastAsia="fr-FR"/>
        </w:rPr>
        <w:endnoteReference w:customMarkFollows="1" w:id="5"/>
        <w:t>[4]</w:t>
      </w:r>
    </w:p>
    <w:p w:rsidR="007C16BD" w:rsidRPr="007C16BD" w:rsidRDefault="007C16BD" w:rsidP="007C16BD">
      <w:pPr>
        <w:bidi/>
        <w:spacing w:before="100" w:beforeAutospacing="1"/>
        <w:ind w:firstLine="32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lastRenderedPageBreak/>
        <w:t> إنّ التّركيب يقترن بمعان تكاد تنحصر في الضّم، والجمع، والتّأليف ومن هذا المنطلق نجد أنّ هذه المعاني تجتمع في نقطة الثّنائية فلا ضّم، ولا جمع، ولا تأليف إلاّ ما كان مؤلّفا من وحدتين فأكثر.</w:t>
      </w:r>
    </w:p>
    <w:p w:rsidR="007C16BD" w:rsidRPr="007C16BD" w:rsidRDefault="007C16BD" w:rsidP="007C16BD">
      <w:pPr>
        <w:bidi/>
        <w:spacing w:before="100" w:beforeAutospacing="1"/>
        <w:ind w:firstLine="32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ويفضّل بعض اللّغويين المحدثين استعمال كلمة التّركيب</w:t>
      </w:r>
      <w:r w:rsidRPr="007C16BD">
        <w:rPr>
          <w:rFonts w:ascii="Traditional Arabic" w:eastAsia="Times New Roman" w:hAnsi="Traditional Arabic" w:cs="Traditional Arabic"/>
          <w:sz w:val="36"/>
          <w:szCs w:val="36"/>
          <w:lang w:eastAsia="fr-FR"/>
        </w:rPr>
        <w:t xml:space="preserve">Structure </w:t>
      </w:r>
      <w:r w:rsidRPr="007C16BD">
        <w:rPr>
          <w:rFonts w:ascii="Traditional Arabic" w:eastAsia="Times New Roman" w:hAnsi="Traditional Arabic" w:cs="Traditional Arabic"/>
          <w:sz w:val="36"/>
          <w:szCs w:val="36"/>
          <w:rtl/>
          <w:lang w:eastAsia="fr-FR"/>
        </w:rPr>
        <w:t> التي يدلّ اشتقاقها التاريخي على طريقة بناء الشّيء وإقامته</w:t>
      </w:r>
      <w:r w:rsidRPr="007C16BD">
        <w:rPr>
          <w:rFonts w:ascii="Traditional Arabic" w:eastAsia="Times New Roman" w:hAnsi="Traditional Arabic" w:cs="Traditional Arabic"/>
          <w:sz w:val="36"/>
          <w:szCs w:val="36"/>
          <w:vertAlign w:val="superscript"/>
          <w:lang w:val="en-US" w:eastAsia="fr-FR"/>
        </w:rPr>
        <w:endnoteReference w:customMarkFollows="1" w:id="6"/>
        <w:t>[5]</w:t>
      </w:r>
      <w:r w:rsidRPr="007C16BD">
        <w:rPr>
          <w:rFonts w:ascii="Traditional Arabic" w:eastAsia="Times New Roman" w:hAnsi="Traditional Arabic" w:cs="Traditional Arabic"/>
          <w:sz w:val="36"/>
          <w:szCs w:val="36"/>
          <w:rtl/>
          <w:lang w:eastAsia="fr-FR"/>
        </w:rPr>
        <w:t>، ويضم قاموس اللسانيات لجورج مونان</w:t>
      </w:r>
      <w:r w:rsidRPr="007C16BD">
        <w:rPr>
          <w:rFonts w:ascii="Traditional Arabic" w:eastAsia="Times New Roman" w:hAnsi="Traditional Arabic" w:cs="Traditional Arabic"/>
          <w:sz w:val="36"/>
          <w:szCs w:val="36"/>
          <w:lang w:val="en-US" w:eastAsia="fr-FR"/>
        </w:rPr>
        <w:t xml:space="preserve">   George Mounin </w:t>
      </w:r>
      <w:r w:rsidRPr="007C16BD">
        <w:rPr>
          <w:rFonts w:ascii="Traditional Arabic" w:eastAsia="Times New Roman" w:hAnsi="Traditional Arabic" w:cs="Traditional Arabic"/>
          <w:sz w:val="36"/>
          <w:szCs w:val="36"/>
          <w:rtl/>
          <w:lang w:eastAsia="fr-FR"/>
        </w:rPr>
        <w:t>تعريفا للتركيب يتلخّص في تعلّق عناصر الوحدات فيما بينها، لتمكِّن اللّغة من أداء وظيفتها الأساسية المتمثّلة في الوظيفة التّواصلية</w:t>
      </w:r>
      <w:r w:rsidRPr="007C16BD">
        <w:rPr>
          <w:rFonts w:ascii="Traditional Arabic" w:eastAsia="Times New Roman" w:hAnsi="Traditional Arabic" w:cs="Traditional Arabic"/>
          <w:sz w:val="36"/>
          <w:szCs w:val="36"/>
          <w:lang w:val="en-US" w:eastAsia="fr-FR"/>
        </w:rPr>
        <w:endnoteReference w:customMarkFollows="1" w:id="7"/>
        <w:t>[6]</w:t>
      </w:r>
    </w:p>
    <w:p w:rsidR="007C16BD" w:rsidRPr="007C16BD" w:rsidRDefault="007C16BD" w:rsidP="007C16BD">
      <w:pPr>
        <w:bidi/>
        <w:ind w:left="785" w:firstLine="32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ب‌-  التركيب في الاصطلاح  :</w:t>
      </w:r>
    </w:p>
    <w:p w:rsidR="007C16BD" w:rsidRPr="007C16BD" w:rsidRDefault="007C16BD" w:rsidP="007C16BD">
      <w:pPr>
        <w:bidi/>
        <w:spacing w:before="100" w:beforeAutospacing="1"/>
        <w:ind w:firstLine="567"/>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يتّضح من خلال المعاني اللّغوية لمصطلح التّركيب أنه يقوم على الثنائية، وهذا ما نجده في قول الخليل بن أحمد (ت175هـ):« إنّ الكلمتين إذا ركبتا، ولكل منهما معنى وحكم، أصبح لهما بالتركيب حكم جديد »</w:t>
      </w:r>
      <w:r w:rsidRPr="007C16BD">
        <w:rPr>
          <w:rFonts w:ascii="Traditional Arabic" w:eastAsia="Times New Roman" w:hAnsi="Traditional Arabic" w:cs="Traditional Arabic"/>
          <w:sz w:val="36"/>
          <w:szCs w:val="36"/>
          <w:vertAlign w:val="superscript"/>
          <w:lang w:val="en-US" w:eastAsia="fr-FR"/>
        </w:rPr>
        <w:endnoteReference w:customMarkFollows="1" w:id="8"/>
        <w:t>[7]</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67"/>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 إنّ من المفيد أن نتعرّض للتفريق بين التّأليف والتركيب ،إذ إن ضمّ كلمة فأكثر إلى كلمة أخرى، كَبَعْلَبكّ*، وغلام زيد... تركيبٌ ، بخلاف التّأليف؛ إذ يشترط  فيه وقوع الألفة بين الجزأين، فهو أخصّ منه وهو تركيب وزيادة</w:t>
      </w:r>
      <w:r w:rsidRPr="007C16BD">
        <w:rPr>
          <w:rFonts w:ascii="Traditional Arabic" w:eastAsia="Times New Roman" w:hAnsi="Traditional Arabic" w:cs="Traditional Arabic"/>
          <w:sz w:val="36"/>
          <w:szCs w:val="36"/>
          <w:vertAlign w:val="superscript"/>
          <w:lang w:val="en-US" w:eastAsia="fr-FR"/>
        </w:rPr>
        <w:endnoteReference w:customMarkFollows="1" w:id="9"/>
        <w:t>[8]</w:t>
      </w:r>
      <w:r w:rsidRPr="007C16BD">
        <w:rPr>
          <w:rFonts w:ascii="Traditional Arabic" w:eastAsia="Times New Roman" w:hAnsi="Traditional Arabic" w:cs="Traditional Arabic"/>
          <w:sz w:val="36"/>
          <w:szCs w:val="36"/>
          <w:rtl/>
          <w:lang w:eastAsia="fr-FR"/>
        </w:rPr>
        <w:t>؛ والترتيب كالتركيب ، لكن ليس لبعض أجزائه نسبة إلى بعض، تقدما وتأخرًا، وجمع الحروف البسيطة ونظمها لتكون كلمة .</w:t>
      </w:r>
      <w:r w:rsidRPr="007C16BD">
        <w:rPr>
          <w:rFonts w:ascii="Traditional Arabic" w:eastAsia="Times New Roman" w:hAnsi="Traditional Arabic" w:cs="Traditional Arabic"/>
          <w:sz w:val="36"/>
          <w:szCs w:val="36"/>
          <w:lang w:val="en-US" w:eastAsia="fr-FR"/>
        </w:rPr>
        <w:endnoteReference w:customMarkFollows="1" w:id="10"/>
        <w:t>[9]</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67"/>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جاء في أنوار الرّبيع أنّ التّركيب هو ضمّ كلمة إلى أخرى، لا على طريق سرد الأعداد، مثل قولك : قلم قرطاس، كتاب باب، فالمركّب إذا ما ضمّت فيه كلمة إلى أخرى بهذا المعنى، وهو أربعة أقسام: </w:t>
      </w:r>
    </w:p>
    <w:p w:rsidR="007C16BD" w:rsidRPr="007C16BD" w:rsidRDefault="007C16BD" w:rsidP="007C16BD">
      <w:pPr>
        <w:bidi/>
        <w:spacing w:before="100" w:beforeAutospacing="1"/>
        <w:ind w:firstLine="0"/>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إسنادى: إن اشتمل على نسبة بين الألفاظ يحصل بها فائدة،</w:t>
      </w:r>
      <w:r w:rsidRPr="007C16BD">
        <w:rPr>
          <w:rFonts w:ascii="Traditional Arabic" w:eastAsia="Times New Roman" w:hAnsi="Traditional Arabic" w:cs="Traditional Arabic"/>
          <w:sz w:val="36"/>
          <w:szCs w:val="36"/>
          <w:lang w:val="en-US" w:eastAsia="fr-FR"/>
        </w:rPr>
        <w:t>…</w:t>
      </w:r>
      <w:r w:rsidRPr="007C16BD">
        <w:rPr>
          <w:rFonts w:ascii="Traditional Arabic" w:eastAsia="Times New Roman" w:hAnsi="Traditional Arabic" w:cs="Traditional Arabic"/>
          <w:sz w:val="36"/>
          <w:szCs w:val="36"/>
          <w:rtl/>
          <w:lang w:eastAsia="fr-FR"/>
        </w:rPr>
        <w:t xml:space="preserve"> وإضافي : نحو كتاب الله، ووصفي: نحو الإنسان الكامل، ومزجي عددي : نحو خمسة عشر، وغير عددي كسيبويه." </w:t>
      </w:r>
      <w:r w:rsidRPr="007C16BD">
        <w:rPr>
          <w:rFonts w:ascii="Traditional Arabic" w:eastAsia="Times New Roman" w:hAnsi="Traditional Arabic" w:cs="Traditional Arabic"/>
          <w:sz w:val="36"/>
          <w:szCs w:val="36"/>
          <w:vertAlign w:val="superscript"/>
          <w:lang w:val="en-US" w:eastAsia="fr-FR"/>
        </w:rPr>
        <w:endnoteReference w:customMarkFollows="1" w:id="11"/>
        <w:t>[10]</w:t>
      </w:r>
      <w:r w:rsidRPr="007C16BD">
        <w:rPr>
          <w:rFonts w:ascii="Traditional Arabic" w:eastAsia="Times New Roman" w:hAnsi="Traditional Arabic" w:cs="Traditional Arabic"/>
          <w:sz w:val="36"/>
          <w:szCs w:val="36"/>
          <w:rtl/>
          <w:lang w:eastAsia="fr-FR"/>
        </w:rPr>
        <w:t xml:space="preserve">، وهذا التّعريف جامع لمختلف أنواع التركيب، ولعلّ التركيب الإسنادي هنا هو الذي يدل على المعنى، بخلاف التّراكيب الإضافية والوصفية والمزجية التي قد تندرج ضمن التّراكيب غير التامّة التي لا يحسن السّكوت عليها.  </w:t>
      </w:r>
    </w:p>
    <w:p w:rsidR="007C16BD" w:rsidRPr="007C16BD" w:rsidRDefault="007C16BD" w:rsidP="007C16BD">
      <w:pPr>
        <w:bidi/>
        <w:spacing w:before="100" w:beforeAutospacing="1"/>
        <w:ind w:firstLine="0"/>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lastRenderedPageBreak/>
        <w:t> </w:t>
      </w:r>
      <w:r w:rsidRPr="007C16BD">
        <w:rPr>
          <w:rFonts w:ascii="Traditional Arabic" w:eastAsia="Times New Roman" w:hAnsi="Traditional Arabic" w:cs="Traditional Arabic"/>
          <w:b/>
          <w:bCs/>
          <w:sz w:val="36"/>
          <w:szCs w:val="36"/>
          <w:rtl/>
          <w:lang w:eastAsia="fr-FR"/>
        </w:rPr>
        <w:t>ثـانيـا : الجملة والكلام والقول.</w:t>
      </w:r>
    </w:p>
    <w:p w:rsidR="007C16BD" w:rsidRPr="007C16BD" w:rsidRDefault="007C16BD" w:rsidP="007C16BD">
      <w:pPr>
        <w:bidi/>
        <w:spacing w:before="100" w:beforeAutospacing="1"/>
        <w:ind w:firstLine="567"/>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مفهوم الجملة؛ اجتهد الباحثون منذ أقدم العصور على اختلاف منازعهم ومناهجهم، في تحديد مفهوم مصطلح الجملة ، فقدّموا لنا عددا ضخما من التعريفات أربى على ثلاثمائة تعريف، وهذه الكثرة من التّعريفات تُبرز الصّعوبة البالغة في تحديد الجملة، فهي على كثرتها غير جامعة ولا مانعة كما يقول المناطقة، ذلك بأننا نعرف معرفة حدسية حدود الجملة تقريبا، ولكننا لا نستطيع أن نعبّر تعبيرا دقيقا أو نضع المعايير الضّابطة لهذا الحدس</w:t>
      </w:r>
      <w:r w:rsidRPr="007C16BD">
        <w:rPr>
          <w:rFonts w:ascii="Traditional Arabic" w:eastAsia="Times New Roman" w:hAnsi="Traditional Arabic" w:cs="Traditional Arabic"/>
          <w:sz w:val="36"/>
          <w:szCs w:val="36"/>
          <w:vertAlign w:val="superscript"/>
          <w:lang w:val="en-US" w:eastAsia="fr-FR"/>
        </w:rPr>
        <w:endnoteReference w:customMarkFollows="1" w:id="12"/>
        <w:t>[25]</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0"/>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ولم يكن نحاة العربية بمنأى عن هذه الاختلافات التي تطال مفهوم الجملة، فقد جعل بعضهم مصطلح الجملة رديفا لمصطلح الكلام كابن جني والزمخشري،جاء فيالخصائص: «أمّا الكلام فكلّ لفظ مستقلّ بنفسه مفيد لمعناه وهو الذي يسميه النحويون الجمل نحو زيد أخوك وقام محمد »</w:t>
      </w:r>
      <w:r w:rsidRPr="007C16BD">
        <w:rPr>
          <w:rFonts w:ascii="Traditional Arabic" w:eastAsia="Times New Roman" w:hAnsi="Traditional Arabic" w:cs="Traditional Arabic"/>
          <w:sz w:val="36"/>
          <w:szCs w:val="36"/>
          <w:lang w:val="en-US" w:eastAsia="fr-FR"/>
        </w:rPr>
        <w:endnoteReference w:customMarkFollows="1" w:id="13"/>
        <w:t>[26]</w:t>
      </w:r>
      <w:r w:rsidRPr="007C16BD">
        <w:rPr>
          <w:rFonts w:ascii="Traditional Arabic" w:eastAsia="Times New Roman" w:hAnsi="Traditional Arabic" w:cs="Traditional Arabic"/>
          <w:sz w:val="36"/>
          <w:szCs w:val="36"/>
          <w:rtl/>
          <w:lang w:eastAsia="fr-FR"/>
        </w:rPr>
        <w:t>، وقال الزمخشري: «الكلام هو المركّب من كلمتين أسندت إحداهما إلى الأخرى وذلك لا يأتي إلاّ في اسمين كقولك زيد أخوك وبشر صاحبك، أو في فعل واسم نحو قولك ضرب زيد وانطلق بكر ويسمى الجملة»</w:t>
      </w:r>
      <w:r w:rsidRPr="007C16BD">
        <w:rPr>
          <w:rFonts w:ascii="Traditional Arabic" w:eastAsia="Times New Roman" w:hAnsi="Traditional Arabic" w:cs="Traditional Arabic"/>
          <w:sz w:val="36"/>
          <w:szCs w:val="36"/>
          <w:lang w:val="en-US" w:eastAsia="fr-FR"/>
        </w:rPr>
        <w:endnoteReference w:customMarkFollows="1" w:id="14"/>
        <w:t>[27]</w:t>
      </w:r>
      <w:r w:rsidRPr="007C16BD">
        <w:rPr>
          <w:rFonts w:ascii="Traditional Arabic" w:eastAsia="Times New Roman" w:hAnsi="Traditional Arabic" w:cs="Traditional Arabic"/>
          <w:sz w:val="36"/>
          <w:szCs w:val="36"/>
          <w:rtl/>
          <w:lang w:eastAsia="fr-FR"/>
        </w:rPr>
        <w:t>، ويضيف ابن جني موضّحا الفرق بين القول والكلام:« قولنا قام زيد، يعدّ كلاما، فإن أدخلنا عليه (إن) إن قام زيد، رجع بالزّيادة إلى النقصان فصار قولا لا كلاما، ألا تراه ناقصا ومنتظرا التّمام بجواب الشّرط »</w:t>
      </w:r>
      <w:r w:rsidRPr="007C16BD">
        <w:rPr>
          <w:rFonts w:ascii="Traditional Arabic" w:eastAsia="Times New Roman" w:hAnsi="Traditional Arabic" w:cs="Traditional Arabic"/>
          <w:sz w:val="36"/>
          <w:szCs w:val="36"/>
          <w:lang w:val="en-US" w:eastAsia="fr-FR"/>
        </w:rPr>
        <w:endnoteReference w:customMarkFollows="1" w:id="15"/>
        <w:t>[28]</w:t>
      </w:r>
      <w:r w:rsidRPr="007C16BD">
        <w:rPr>
          <w:rFonts w:ascii="Traditional Arabic" w:eastAsia="Times New Roman" w:hAnsi="Traditional Arabic" w:cs="Traditional Arabic"/>
          <w:sz w:val="36"/>
          <w:szCs w:val="36"/>
          <w:rtl/>
          <w:lang w:eastAsia="fr-FR"/>
        </w:rPr>
        <w:t>. ويتبيّن من آراء ابن جني، أنّ القول أعمّ من الكلام والجملة، لا يشترط  فيه أن يؤدي معنى مستقلا بنفسه، فتكون بذلك الوحدات المفردة والمركبات التي لم تتضمن معنى مستقلا قولا</w:t>
      </w:r>
      <w:r w:rsidRPr="007C16BD">
        <w:rPr>
          <w:rFonts w:ascii="Traditional Arabic" w:eastAsia="Times New Roman" w:hAnsi="Traditional Arabic" w:cs="Traditional Arabic"/>
          <w:sz w:val="36"/>
          <w:szCs w:val="36"/>
          <w:lang w:val="en-US" w:eastAsia="fr-FR"/>
        </w:rPr>
        <w:endnoteReference w:customMarkFollows="1" w:id="16"/>
        <w:t>[29]</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0"/>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لقد جعل ابن فارس كلاّ من الكلام والجملة مترادفين، وهذا ما نلمسه في باب العموم </w:t>
      </w:r>
      <w:r w:rsidRPr="007C16BD">
        <w:rPr>
          <w:rFonts w:ascii="Traditional Arabic" w:eastAsia="Times New Roman" w:hAnsi="Traditional Arabic" w:cs="Traditional Arabic"/>
          <w:sz w:val="36"/>
          <w:szCs w:val="36"/>
          <w:lang w:val="en-US" w:eastAsia="fr-FR"/>
        </w:rPr>
        <w:t>      </w:t>
      </w:r>
      <w:r w:rsidRPr="007C16BD">
        <w:rPr>
          <w:rFonts w:ascii="Traditional Arabic" w:eastAsia="Times New Roman" w:hAnsi="Traditional Arabic" w:cs="Traditional Arabic"/>
          <w:sz w:val="36"/>
          <w:szCs w:val="36"/>
          <w:rtl/>
          <w:lang w:eastAsia="fr-FR"/>
        </w:rPr>
        <w:t>والخصوص، عندما يقول:« العام الذي يأتي على الجملة لا يغادر منها شيئا وذلك كقوله جل ثناؤه: ﴿خَلَقَ كُلَّ دَابَّةٍ مِن مَّاءٌ﴾</w:t>
      </w:r>
      <w:r w:rsidRPr="007C16BD">
        <w:rPr>
          <w:rFonts w:ascii="Traditional Arabic" w:eastAsia="Times New Roman" w:hAnsi="Traditional Arabic" w:cs="Traditional Arabic"/>
          <w:sz w:val="36"/>
          <w:szCs w:val="36"/>
          <w:lang w:val="en-US" w:eastAsia="fr-FR"/>
        </w:rPr>
        <w:endnoteReference w:customMarkFollows="1" w:id="17"/>
        <w:t>[30]</w:t>
      </w:r>
      <w:r w:rsidRPr="007C16BD">
        <w:rPr>
          <w:rFonts w:ascii="Traditional Arabic" w:eastAsia="Times New Roman" w:hAnsi="Traditional Arabic" w:cs="Traditional Arabic"/>
          <w:sz w:val="36"/>
          <w:szCs w:val="36"/>
          <w:rtl/>
          <w:lang w:eastAsia="fr-FR"/>
        </w:rPr>
        <w:t>، وقال : ﴿خَالِقُ كُلِّ شَيْءٍ﴾</w:t>
      </w:r>
      <w:r w:rsidRPr="007C16BD">
        <w:rPr>
          <w:rFonts w:ascii="Traditional Arabic" w:eastAsia="Times New Roman" w:hAnsi="Traditional Arabic" w:cs="Traditional Arabic"/>
          <w:sz w:val="36"/>
          <w:szCs w:val="36"/>
          <w:lang w:val="en-US" w:eastAsia="fr-FR"/>
        </w:rPr>
        <w:endnoteReference w:customMarkFollows="1" w:id="18"/>
        <w:t>[31]</w:t>
      </w:r>
      <w:r w:rsidRPr="007C16BD">
        <w:rPr>
          <w:rFonts w:ascii="Traditional Arabic" w:eastAsia="Times New Roman" w:hAnsi="Traditional Arabic" w:cs="Traditional Arabic"/>
          <w:sz w:val="36"/>
          <w:szCs w:val="36"/>
          <w:rtl/>
          <w:lang w:eastAsia="fr-FR"/>
        </w:rPr>
        <w:t xml:space="preserve"> ثم في الباب نفسه يقول:« وقد يكون الكلامان متصلين، ويكون أحدهما خاصا والأخر عاما »</w:t>
      </w:r>
      <w:r w:rsidRPr="007C16BD">
        <w:rPr>
          <w:rFonts w:ascii="Traditional Arabic" w:eastAsia="Times New Roman" w:hAnsi="Traditional Arabic" w:cs="Traditional Arabic"/>
          <w:sz w:val="36"/>
          <w:szCs w:val="36"/>
          <w:lang w:val="en-US" w:eastAsia="fr-FR"/>
        </w:rPr>
        <w:endnoteReference w:customMarkFollows="1" w:id="19"/>
        <w:t>[32]</w:t>
      </w:r>
      <w:r w:rsidRPr="007C16BD">
        <w:rPr>
          <w:rFonts w:ascii="Traditional Arabic" w:eastAsia="Times New Roman" w:hAnsi="Traditional Arabic" w:cs="Traditional Arabic"/>
          <w:sz w:val="36"/>
          <w:szCs w:val="36"/>
          <w:rtl/>
          <w:lang w:eastAsia="fr-FR"/>
        </w:rPr>
        <w:t xml:space="preserve">، لقد عرّف أحمد بن فارس الكلام، في باب القول من حقيقة الكلام فيقال:«زعم قوم أن الكلام ما سمع وفهم،وذلك قولنا :"قام زيد ، وذهب عمرو".وقال قوم: الكلام </w:t>
      </w:r>
      <w:r w:rsidRPr="007C16BD">
        <w:rPr>
          <w:rFonts w:ascii="Traditional Arabic" w:eastAsia="Times New Roman" w:hAnsi="Traditional Arabic" w:cs="Traditional Arabic"/>
          <w:sz w:val="36"/>
          <w:szCs w:val="36"/>
          <w:rtl/>
          <w:lang w:eastAsia="fr-FR"/>
        </w:rPr>
        <w:lastRenderedPageBreak/>
        <w:t>حروف مؤلّفة دالّة على المعنى »</w:t>
      </w:r>
      <w:r w:rsidRPr="007C16BD">
        <w:rPr>
          <w:rFonts w:ascii="Traditional Arabic" w:eastAsia="Times New Roman" w:hAnsi="Traditional Arabic" w:cs="Traditional Arabic"/>
          <w:sz w:val="36"/>
          <w:szCs w:val="36"/>
          <w:lang w:val="en-US" w:eastAsia="fr-FR"/>
        </w:rPr>
        <w:endnoteReference w:customMarkFollows="1" w:id="20"/>
        <w:t>[33]</w:t>
      </w:r>
      <w:r w:rsidRPr="007C16BD">
        <w:rPr>
          <w:rFonts w:ascii="Traditional Arabic" w:eastAsia="Times New Roman" w:hAnsi="Traditional Arabic" w:cs="Traditional Arabic"/>
          <w:sz w:val="36"/>
          <w:szCs w:val="36"/>
          <w:rtl/>
          <w:lang w:eastAsia="fr-FR"/>
        </w:rPr>
        <w:t>.والقولان متقاربان، لأنّ المسموع المفهوم لا يكاد يكون إلا بحروف مؤلفة تدلّ على المعنى.</w:t>
      </w:r>
    </w:p>
    <w:p w:rsidR="007C16BD" w:rsidRPr="007C16BD" w:rsidRDefault="007C16BD" w:rsidP="007C16BD">
      <w:pPr>
        <w:bidi/>
        <w:spacing w:before="100" w:beforeAutospacing="1"/>
        <w:ind w:firstLine="0"/>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يرى محمّد حماسة في التّعريفين اللذين أوردهما ابن فارس، أنّ مدلول الكلام مطابق للجملة، لأنّ تمثيله يشير إلى ذلك صراحة، ولنا أن نفهم أنّ(الفهم) في التعريف الأوّل هو الفهم الحاصل من جملة مفيدة، وإن كان لم يشترط التّركيب، فقد يكون المسموع المفهوم كلمة واحدة مثلا، ولكنّها تؤدّي من حيث الدّلالة الكاملة ما تؤديه مجموعة كلمات، وفي محاولة ابن فارس التوفيق بين التعريفين اللذين أوردهما كان دقيقا عندما قال هذه العبارة العلمية (لا يكاد) ونحن بعد لا نرى أن هذين التعريفين متقاربان كما رأى ابن فارس لأنّ أوّلهما لا يشترط مجموعة (حروف) أيّ كلمات، ولا يشترط الإسناد أو التأليف وهو تعريف دقيق، أما الثاني فإنه يشترط أن يكون الكلام أو الجملة (مؤلفا) من حروف وهذا التعريف مع صحّته يدفع بالدّارس أن يقدّر ويؤوِّل عندما يجد جملة مفيدة من (حرف) واحد مثلا حتى يكون الكلام حروفا مؤلفة</w:t>
      </w:r>
      <w:r w:rsidRPr="007C16BD">
        <w:rPr>
          <w:rFonts w:ascii="Traditional Arabic" w:eastAsia="Times New Roman" w:hAnsi="Traditional Arabic" w:cs="Traditional Arabic"/>
          <w:sz w:val="36"/>
          <w:szCs w:val="36"/>
          <w:lang w:val="en-US" w:eastAsia="fr-FR"/>
        </w:rPr>
        <w:endnoteReference w:customMarkFollows="1" w:id="21"/>
        <w:t>[34]</w:t>
      </w:r>
      <w:r w:rsidRPr="007C16BD">
        <w:rPr>
          <w:rFonts w:ascii="Traditional Arabic" w:eastAsia="Times New Roman" w:hAnsi="Traditional Arabic" w:cs="Traditional Arabic"/>
          <w:sz w:val="36"/>
          <w:szCs w:val="36"/>
          <w:rtl/>
          <w:lang w:eastAsia="fr-FR"/>
        </w:rPr>
        <w:t>. وسوّى عبد القاهر الجرجاني  هو أيضا بين المصطلحين، حيث يقول:« اعلم أنّ الواحد من الاسم والفعل والحرف يسمّى كلمة، فإذا ائتلف منها اثنان فأفادا نحو خرج زيد سمّي كلاما وسمي جملة »</w:t>
      </w:r>
      <w:r w:rsidRPr="007C16BD">
        <w:rPr>
          <w:rFonts w:ascii="Traditional Arabic" w:eastAsia="Times New Roman" w:hAnsi="Traditional Arabic" w:cs="Traditional Arabic"/>
          <w:sz w:val="36"/>
          <w:szCs w:val="36"/>
          <w:lang w:val="en-US" w:eastAsia="fr-FR"/>
        </w:rPr>
        <w:endnoteReference w:customMarkFollows="1" w:id="22"/>
        <w:t>[35]</w:t>
      </w:r>
      <w:r w:rsidRPr="007C16BD">
        <w:rPr>
          <w:rFonts w:ascii="Traditional Arabic" w:eastAsia="Times New Roman" w:hAnsi="Traditional Arabic" w:cs="Traditional Arabic"/>
          <w:sz w:val="36"/>
          <w:szCs w:val="36"/>
          <w:rtl/>
          <w:lang w:eastAsia="fr-FR"/>
        </w:rPr>
        <w:t>. وهنا يشترط الجرجاني التّركيب والإفادة.</w:t>
      </w:r>
    </w:p>
    <w:p w:rsidR="007C16BD" w:rsidRPr="007C16BD" w:rsidRDefault="007C16BD" w:rsidP="007C16BD">
      <w:pPr>
        <w:bidi/>
        <w:spacing w:before="100" w:beforeAutospacing="1"/>
        <w:ind w:firstLine="0"/>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ولم يستخدم سيبويه (ت180هـ) مصطلح الجملة على الوجه الذي تناوله به من جاء بعده كما صرّح بذلك محمد حماسة إذ يقول:« ولم أعثر على كلمة الجملة في كتابه إلا مرّة واحدة ، جاءت فيها بصيغة الجمع ، ولم ترد بوصفها مصطلحا نحويا، وردت بمعناها اللغوي »</w:t>
      </w:r>
      <w:r w:rsidRPr="007C16BD">
        <w:rPr>
          <w:rFonts w:ascii="Traditional Arabic" w:eastAsia="Times New Roman" w:hAnsi="Traditional Arabic" w:cs="Traditional Arabic"/>
          <w:sz w:val="36"/>
          <w:szCs w:val="36"/>
          <w:vertAlign w:val="superscript"/>
          <w:lang w:val="en-US" w:eastAsia="fr-FR"/>
        </w:rPr>
        <w:endnoteReference w:customMarkFollows="1" w:id="23"/>
        <w:t>[36]</w:t>
      </w:r>
      <w:r w:rsidRPr="007C16BD">
        <w:rPr>
          <w:rFonts w:ascii="Traditional Arabic" w:eastAsia="Times New Roman" w:hAnsi="Traditional Arabic" w:cs="Traditional Arabic"/>
          <w:sz w:val="36"/>
          <w:szCs w:val="36"/>
          <w:rtl/>
          <w:lang w:eastAsia="fr-FR"/>
        </w:rPr>
        <w:t>، وقد استنتج ابن جني أنّ سيبويه قد عنى بالكلام الجملة حين قال:«قال سيبويه : اعلم أنّ (قلت) في كلام العرب إنما وقعت على أن يحكى بها،وإنما يحكى بعد القول ما كان كلاما لا قولا ففرق بين الكلام والقول كماترى...ولما فيه أنّ الكلام هوالجمل المستقلة بأنفسها الغانية عنغيرها »</w:t>
      </w:r>
      <w:r w:rsidRPr="007C16BD">
        <w:rPr>
          <w:rFonts w:ascii="Traditional Arabic" w:eastAsia="Times New Roman" w:hAnsi="Traditional Arabic" w:cs="Traditional Arabic"/>
          <w:sz w:val="36"/>
          <w:szCs w:val="36"/>
          <w:lang w:val="en-US" w:eastAsia="fr-FR"/>
        </w:rPr>
        <w:endnoteReference w:customMarkFollows="1" w:id="24"/>
        <w:t>[37]</w:t>
      </w:r>
      <w:r w:rsidRPr="007C16BD">
        <w:rPr>
          <w:rFonts w:ascii="Traditional Arabic" w:eastAsia="Times New Roman" w:hAnsi="Traditional Arabic" w:cs="Traditional Arabic"/>
          <w:sz w:val="36"/>
          <w:szCs w:val="36"/>
          <w:rtl/>
          <w:lang w:eastAsia="fr-FR"/>
        </w:rPr>
        <w:t xml:space="preserve">.ويبدو أنّ ابن جني قد استنتج هذا المعنى من خلال مدارسته للكتاب، فمصطلح الجملة بالمعنى المعروف، ظهر إذا على يد من جاء بعد سيبويه من أمثال ابن جني والزمخشري وقد سوّوا بين مصطلح الكلام والجملة ، ودرج على ذلك جمهور النّحاة </w:t>
      </w:r>
      <w:r w:rsidRPr="007C16BD">
        <w:rPr>
          <w:rFonts w:ascii="Traditional Arabic" w:eastAsia="Times New Roman" w:hAnsi="Traditional Arabic" w:cs="Traditional Arabic"/>
          <w:sz w:val="36"/>
          <w:szCs w:val="36"/>
          <w:rtl/>
          <w:lang w:eastAsia="fr-FR"/>
        </w:rPr>
        <w:lastRenderedPageBreak/>
        <w:t>كما يقول أبو البقاء العكبري الذي حشد أدلّة متعدّدة ليبرهن على أنّ« الكلام عبارة عن الجملة المفيدة فائدة تامة وأنه لفظ يعبّر بإطلاقه عن الجملة المفيدة وأنّ هذا قول جمهور النحاة »</w:t>
      </w:r>
      <w:r w:rsidRPr="007C16BD">
        <w:rPr>
          <w:rFonts w:ascii="Traditional Arabic" w:eastAsia="Times New Roman" w:hAnsi="Traditional Arabic" w:cs="Traditional Arabic"/>
          <w:sz w:val="36"/>
          <w:szCs w:val="36"/>
          <w:lang w:val="en-US" w:eastAsia="fr-FR"/>
        </w:rPr>
        <w:endnoteReference w:customMarkFollows="1" w:id="25"/>
        <w:t>[38]</w:t>
      </w:r>
      <w:r w:rsidRPr="007C16BD">
        <w:rPr>
          <w:rFonts w:ascii="Traditional Arabic" w:eastAsia="Times New Roman" w:hAnsi="Traditional Arabic" w:cs="Traditional Arabic"/>
          <w:sz w:val="36"/>
          <w:szCs w:val="36"/>
          <w:rtl/>
          <w:lang w:eastAsia="fr-FR"/>
        </w:rPr>
        <w:t>، غير أن هناك من اعترض على استنتاج ابن جني، فالرازي في باب أفرده للمباحث المتعلّقة بالكلمة يقول:«</w:t>
      </w:r>
      <w:r w:rsidRPr="007C16BD">
        <w:rPr>
          <w:rFonts w:ascii="Traditional Arabic" w:eastAsia="Times New Roman" w:hAnsi="Traditional Arabic" w:cs="Traditional Arabic"/>
          <w:color w:val="000000"/>
          <w:sz w:val="36"/>
          <w:szCs w:val="36"/>
          <w:rtl/>
          <w:lang w:eastAsia="fr-FR"/>
        </w:rPr>
        <w:t>فالكلمة</w:t>
      </w:r>
      <w:r w:rsidRPr="007C16BD">
        <w:rPr>
          <w:rFonts w:ascii="Traditional Arabic" w:eastAsia="Times New Roman" w:hAnsi="Traditional Arabic" w:cs="Traditional Arabic"/>
          <w:sz w:val="36"/>
          <w:szCs w:val="36"/>
          <w:rtl/>
          <w:lang w:eastAsia="fr-FR"/>
        </w:rPr>
        <w:t xml:space="preserve"> غير الكلام، فالكلمة هي اللّفظة المفردة، والكلام هو الجملة المفيدة،... وابن جني وافق النحويين واستبعد قول المتكلمين، وما رأيت في كلامه حجة قوية في الفرق  سوى أنه نقل عن سيبويه كلاما مشعرا بأن لفظ الكلام مختص بالجملة المفيدة، وذكر كلمات أخرى إلا أنها في غاية الضعف»</w:t>
      </w:r>
      <w:r w:rsidRPr="007C16BD">
        <w:rPr>
          <w:rFonts w:ascii="Traditional Arabic" w:eastAsia="Times New Roman" w:hAnsi="Traditional Arabic" w:cs="Traditional Arabic"/>
          <w:sz w:val="36"/>
          <w:szCs w:val="36"/>
          <w:lang w:val="en-US" w:eastAsia="fr-FR"/>
        </w:rPr>
        <w:endnoteReference w:customMarkFollows="1" w:id="26"/>
        <w:t>[39]</w:t>
      </w:r>
      <w:r w:rsidRPr="007C16BD">
        <w:rPr>
          <w:rFonts w:ascii="Traditional Arabic" w:eastAsia="Times New Roman" w:hAnsi="Traditional Arabic" w:cs="Traditional Arabic"/>
          <w:sz w:val="36"/>
          <w:szCs w:val="36"/>
          <w:rtl/>
          <w:lang w:eastAsia="fr-FR"/>
        </w:rPr>
        <w:t>، ويذكر آخر أنه قد استخرج حوالي مائة موضع ذكر فيها سيبويه مصطلح الكلام ولم يكن يعني به الجملة بتاتا، فوجد أن مصطلح الكلام كان يعني به عدة معان أهمها : الاسم، الحرف، عموم النثر العربي، تمام الفائدة وغيرها</w:t>
      </w:r>
      <w:r w:rsidRPr="007C16BD">
        <w:rPr>
          <w:rFonts w:ascii="Traditional Arabic" w:eastAsia="Times New Roman" w:hAnsi="Traditional Arabic" w:cs="Traditional Arabic"/>
          <w:sz w:val="36"/>
          <w:szCs w:val="36"/>
          <w:lang w:val="en-US" w:eastAsia="fr-FR"/>
        </w:rPr>
        <w:endnoteReference w:customMarkFollows="1" w:id="27"/>
        <w:t>[40]</w:t>
      </w:r>
      <w:r w:rsidRPr="007C16BD">
        <w:rPr>
          <w:rFonts w:ascii="Traditional Arabic" w:eastAsia="Times New Roman" w:hAnsi="Traditional Arabic" w:cs="Traditional Arabic"/>
          <w:sz w:val="36"/>
          <w:szCs w:val="36"/>
          <w:rtl/>
          <w:lang w:eastAsia="fr-FR"/>
        </w:rPr>
        <w:t xml:space="preserve">.  </w:t>
      </w:r>
    </w:p>
    <w:p w:rsidR="007C16BD" w:rsidRPr="007C16BD" w:rsidRDefault="007C16BD" w:rsidP="007C16BD">
      <w:pPr>
        <w:bidi/>
        <w:spacing w:before="100" w:beforeAutospacing="1"/>
        <w:ind w:firstLine="0"/>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بينما فرّقهم بعضه الآخر بين المصطلحين؛ولعلّ أوّل من استعمل مصطلح "الجملة" بمفهومه النحوي صراحة، هو المبرّد(ت285هـ) في مقتضبه، عند حديثه عن الفاعل فقال:« هذا باب  الفاعل وهو رفع ، وذلك : قام عبد الله، وجلس زيد. وإنما كان الفاعل رفعا لأنه هو والفعل جملة يحسن السّكوت عليها، وتجب بها الفائدة للمخاطب. فالفاعل والفعل بمنزلة الابتداء والخبر، إذا قلت: قام زيد فهو بمنزلة قولك : القائم زيد» </w:t>
      </w:r>
      <w:r w:rsidRPr="007C16BD">
        <w:rPr>
          <w:rFonts w:ascii="Traditional Arabic" w:eastAsia="Times New Roman" w:hAnsi="Traditional Arabic" w:cs="Traditional Arabic"/>
          <w:sz w:val="36"/>
          <w:szCs w:val="36"/>
          <w:lang w:val="en-US" w:eastAsia="fr-FR"/>
        </w:rPr>
        <w:endnoteReference w:customMarkFollows="1" w:id="28"/>
        <w:t>[41]</w:t>
      </w:r>
      <w:r w:rsidRPr="007C16BD">
        <w:rPr>
          <w:rFonts w:ascii="Traditional Arabic" w:eastAsia="Times New Roman" w:hAnsi="Traditional Arabic" w:cs="Traditional Arabic"/>
          <w:sz w:val="36"/>
          <w:szCs w:val="36"/>
          <w:rtl/>
          <w:lang w:eastAsia="fr-FR"/>
        </w:rPr>
        <w:t>وفي هذا الشّأن يذكر تمّام حسّان أنّ المبرّد لم يفرد بابا خاصا للجملة معرفا لها ومبينا أقسامها وعناصرها، وأنواعها، وإذا كان لفظ الجملة اتّخذ لديه مصطلحا فالمصطلح لا يأتي هكذا طفرة، إنّما يخضع لمراحل يمرّ بها واتّفاق يجمع عليه العلماء ،كما أن للمصطلح شروطا يجب أن تتوافر فيه</w:t>
      </w:r>
      <w:r w:rsidRPr="007C16BD">
        <w:rPr>
          <w:rFonts w:ascii="Traditional Arabic" w:eastAsia="Times New Roman" w:hAnsi="Traditional Arabic" w:cs="Traditional Arabic"/>
          <w:sz w:val="36"/>
          <w:szCs w:val="36"/>
          <w:lang w:val="en-US" w:eastAsia="fr-FR"/>
        </w:rPr>
        <w:endnoteReference w:customMarkFollows="1" w:id="29"/>
        <w:t>[42]</w:t>
      </w:r>
      <w:r w:rsidRPr="007C16BD">
        <w:rPr>
          <w:rFonts w:ascii="Traditional Arabic" w:eastAsia="Times New Roman" w:hAnsi="Traditional Arabic" w:cs="Traditional Arabic"/>
          <w:sz w:val="36"/>
          <w:szCs w:val="36"/>
          <w:rtl/>
          <w:lang w:eastAsia="fr-FR"/>
        </w:rPr>
        <w:t xml:space="preserve">. </w:t>
      </w:r>
    </w:p>
    <w:p w:rsidR="007C16BD" w:rsidRPr="007C16BD" w:rsidRDefault="007C16BD" w:rsidP="007C16BD">
      <w:pPr>
        <w:bidi/>
        <w:spacing w:before="100" w:beforeAutospacing="1"/>
        <w:ind w:firstLine="0"/>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وممّن فرّق بين الجملة والكلام الأسترباذي(ت686هـ) الذي يقول:« إن الجملة ما تضمّنت الإسناد الأصليّ  سواء كانت مقصورة لذانها أو لا. كالجملة التي هي خبر المبتدأ وسائر ما ذكر من الجمل فيخرج المصدر ، واسما الفاعل ، والمفعول، والصفة الشبّهة، والظّرف مع ما أسند إليه والكلام ما تضمن الإسناد الأصلي وكان مقصودا لذاته فكلّ كلام جملة ولا ينعكس»</w:t>
      </w:r>
      <w:r w:rsidRPr="007C16BD">
        <w:rPr>
          <w:rFonts w:ascii="Traditional Arabic" w:eastAsia="Times New Roman" w:hAnsi="Traditional Arabic" w:cs="Traditional Arabic"/>
          <w:sz w:val="36"/>
          <w:szCs w:val="36"/>
          <w:lang w:val="en-US" w:eastAsia="fr-FR"/>
        </w:rPr>
        <w:endnoteReference w:customMarkFollows="1" w:id="30"/>
        <w:t>[43]</w:t>
      </w:r>
      <w:r w:rsidRPr="007C16BD">
        <w:rPr>
          <w:rFonts w:ascii="Traditional Arabic" w:eastAsia="Times New Roman" w:hAnsi="Traditional Arabic" w:cs="Traditional Arabic"/>
          <w:sz w:val="36"/>
          <w:szCs w:val="36"/>
          <w:rtl/>
          <w:lang w:eastAsia="fr-FR"/>
        </w:rPr>
        <w:t xml:space="preserve"> .</w:t>
      </w:r>
    </w:p>
    <w:p w:rsidR="007C16BD" w:rsidRPr="007C16BD" w:rsidRDefault="007C16BD" w:rsidP="007C16BD">
      <w:pPr>
        <w:bidi/>
        <w:spacing w:before="100" w:beforeAutospacing="1"/>
        <w:ind w:firstLine="0"/>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lastRenderedPageBreak/>
        <w:t>        يرى ابن هشام(761هـ) أنّ الإفادة تخصّ الكلام دون الجملة، « ولهذا تراهم يقولون جملة الجواب وجملة الصلة، وكل ذلك ليس مفيدا ، فليس بكلام ،والكلام هو القول المفيد بالقصد »</w:t>
      </w:r>
      <w:r w:rsidRPr="007C16BD">
        <w:rPr>
          <w:rFonts w:ascii="Traditional Arabic" w:eastAsia="Times New Roman" w:hAnsi="Traditional Arabic" w:cs="Traditional Arabic"/>
          <w:sz w:val="36"/>
          <w:szCs w:val="36"/>
          <w:lang w:val="en-US" w:eastAsia="fr-FR"/>
        </w:rPr>
        <w:endnoteReference w:customMarkFollows="1" w:id="31"/>
        <w:t>[44]</w:t>
      </w:r>
      <w:r w:rsidRPr="007C16BD">
        <w:rPr>
          <w:rFonts w:ascii="Traditional Arabic" w:eastAsia="Times New Roman" w:hAnsi="Traditional Arabic" w:cs="Traditional Arabic"/>
          <w:sz w:val="36"/>
          <w:szCs w:val="36"/>
          <w:rtl/>
          <w:lang w:eastAsia="fr-FR"/>
        </w:rPr>
        <w:t>والإفادة عنده « ما دل على معنى يحسن السكوت عليه، والجملة عبارة عن الفعل وفاعله كـ (قام زيد) والمبتدأ وخبره كـ(زيد قائم) وما كان بمنزلة أحدهما نحو : ضرب اللص، أو قام الزيدان؟ وكان زيد قائما، وظننته قائما »</w:t>
      </w:r>
      <w:r w:rsidRPr="007C16BD">
        <w:rPr>
          <w:rFonts w:ascii="Traditional Arabic" w:eastAsia="Times New Roman" w:hAnsi="Traditional Arabic" w:cs="Traditional Arabic"/>
          <w:sz w:val="36"/>
          <w:szCs w:val="36"/>
          <w:lang w:val="en-US" w:eastAsia="fr-FR"/>
        </w:rPr>
        <w:endnoteReference w:customMarkFollows="1" w:id="32"/>
        <w:t>[45]</w:t>
      </w:r>
      <w:r w:rsidRPr="007C16BD">
        <w:rPr>
          <w:rFonts w:ascii="Traditional Arabic" w:eastAsia="Times New Roman" w:hAnsi="Traditional Arabic" w:cs="Traditional Arabic"/>
          <w:sz w:val="36"/>
          <w:szCs w:val="36"/>
          <w:rtl/>
          <w:lang w:eastAsia="fr-FR"/>
        </w:rPr>
        <w:t>.إذا؛ الجملة عند ابن هشام تقوم على الإسناد سواء أفاد أو لم يفد؛ فالتركيب الإسنادي يسمى جملة، فإن أفاد سمي كلاما.   ويأتي السيوطي ليُوفق بين الاتجاهين السّابقين، حيث حدّ الجملة بأنها القول المركب، وجعل أساسها الإسناد مقصودا لذاته أولا. ثم أباح مرادفتها للكلام معلّلا ذلك على أنّه على سبيل المجاز قائلا:« وأما إطلاق الجملة على ما ذكر من الواقعة شرطا أو جوابا أو صلة فإطلاق مجازي، لأن كلا منهما كان جملة قبلُ، فأطلقت الجملة عليه باعتبار ما كان كإطلاق اليتامى على البالغين نظرا إلى أنهم كانوا كذلك »</w:t>
      </w:r>
      <w:r w:rsidRPr="007C16BD">
        <w:rPr>
          <w:rFonts w:ascii="Traditional Arabic" w:eastAsia="Times New Roman" w:hAnsi="Traditional Arabic" w:cs="Traditional Arabic"/>
          <w:sz w:val="36"/>
          <w:szCs w:val="36"/>
          <w:lang w:val="en-US" w:eastAsia="fr-FR"/>
        </w:rPr>
        <w:endnoteReference w:customMarkFollows="1" w:id="33"/>
        <w:t>[46]</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ومن النّحاة من يرى أنّ الخلاف بين الفريقين خلاف لفظيّ منشؤه غياب المصطلح النّحوي المناسب لهذا النّوع من التّركيب الذي يقوم بوظيفته ضمن تركيب أكبر (الجملة)، فالنحاة الذين يقولون بترادف الجملة والكلام ليس عندهم إشكال في أنّ التركيب التالي:"بلغني أبو حنيفة علمه وافر" جملة مكونة من ثلاث أجزاء هي : "بلغني" و"أبو حنيفة علمه وافر"و "علمه وافر"وليس كل جزء من الأجزاء مستقلا بذاته بل هو جزء من تركيب أكبر وهو الجملة، أمّا الأجزاء المكوّنة لهذا التّركيب فليست جملة لعدم انطباق حد الجملة (الكلام)  عليها لخلوها من شرط الاستقلال ، لأنّ الجملة عندهم كلام مستقل مفيد لمعناه</w:t>
      </w:r>
      <w:r w:rsidRPr="007C16BD">
        <w:rPr>
          <w:rFonts w:ascii="Traditional Arabic" w:eastAsia="Times New Roman" w:hAnsi="Traditional Arabic" w:cs="Traditional Arabic"/>
          <w:sz w:val="36"/>
          <w:szCs w:val="36"/>
          <w:lang w:val="en-US" w:eastAsia="fr-FR"/>
        </w:rPr>
        <w:endnoteReference w:customMarkFollows="1" w:id="34"/>
        <w:t>[47]</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بينما هناك من الباحثين المحدثين من نوه بجهودهم وأثنى عليها ، بل إن هناك من يرى أن دراساتهم تقف اليوم شامخة أمام أحدث النظريات اللغوية في الغرب.</w:t>
      </w:r>
      <w:r w:rsidRPr="007C16BD">
        <w:rPr>
          <w:rFonts w:ascii="Traditional Arabic" w:eastAsia="Times New Roman" w:hAnsi="Traditional Arabic" w:cs="Traditional Arabic"/>
          <w:sz w:val="36"/>
          <w:szCs w:val="36"/>
          <w:lang w:val="en-US" w:eastAsia="fr-FR"/>
        </w:rPr>
        <w:endnoteReference w:customMarkFollows="1" w:id="35"/>
        <w:t>[48]</w:t>
      </w:r>
      <w:r w:rsidRPr="007C16BD">
        <w:rPr>
          <w:rFonts w:ascii="Traditional Arabic" w:eastAsia="Times New Roman" w:hAnsi="Traditional Arabic" w:cs="Traditional Arabic"/>
          <w:sz w:val="36"/>
          <w:szCs w:val="36"/>
          <w:rtl/>
          <w:lang w:eastAsia="fr-FR"/>
        </w:rPr>
        <w:t xml:space="preserve"> </w:t>
      </w:r>
    </w:p>
    <w:p w:rsidR="007C16BD" w:rsidRPr="007C16BD" w:rsidRDefault="007C16BD" w:rsidP="007C16BD">
      <w:pPr>
        <w:bidi/>
        <w:ind w:right="-180"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على الرّغم من تنويه المحدثين بجهود القدماء ، يرى بعضهم أنّ هذه الاختلافات حول مفهوم الجملة وعلاقتها بالكلام في غالبها تقنع بشرح التّعريف دون أن تزيد شيئا في الاستقلال بفكرة الجملة ومعالجتها بدراسة خاصة وتكتفي بدراسة المراد من الفائدة بأنّها النّسبة بين </w:t>
      </w:r>
      <w:r w:rsidRPr="007C16BD">
        <w:rPr>
          <w:rFonts w:ascii="Traditional Arabic" w:eastAsia="Times New Roman" w:hAnsi="Traditional Arabic" w:cs="Traditional Arabic"/>
          <w:sz w:val="36"/>
          <w:szCs w:val="36"/>
          <w:rtl/>
          <w:lang w:eastAsia="fr-FR"/>
        </w:rPr>
        <w:lastRenderedPageBreak/>
        <w:t>الشيئين إيجابا كانت أو سلبا لكون اللّفظ الصّادر من التّكلم مستندا على شيئين هما المحكوم عليه</w:t>
      </w:r>
      <w:r w:rsidRPr="007C16BD">
        <w:rPr>
          <w:rFonts w:ascii="Traditional Arabic" w:eastAsia="Times New Roman" w:hAnsi="Traditional Arabic" w:cs="Traditional Arabic"/>
          <w:sz w:val="36"/>
          <w:szCs w:val="36"/>
          <w:lang w:val="en-US" w:eastAsia="fr-FR"/>
        </w:rPr>
        <w:t xml:space="preserve">  </w:t>
      </w:r>
      <w:r w:rsidRPr="007C16BD">
        <w:rPr>
          <w:rFonts w:ascii="Traditional Arabic" w:eastAsia="Times New Roman" w:hAnsi="Traditional Arabic" w:cs="Traditional Arabic"/>
          <w:sz w:val="36"/>
          <w:szCs w:val="36"/>
          <w:rtl/>
          <w:lang w:eastAsia="fr-FR"/>
        </w:rPr>
        <w:t>والمحكوم فحسب، ومن العجيب أنّهم لا يرون ضررا في احتياج السّامع إلى شيء آخر غيرها، فلا يضرّه احتياجه إلى المتعلقات من المفاعيل ونحوها مع أنّ هناك كثيرا من التّراكيب لا تتمّ فيها الفائدة إلاّ بذكر المتعلقات</w:t>
      </w:r>
      <w:r w:rsidRPr="007C16BD">
        <w:rPr>
          <w:rFonts w:ascii="Traditional Arabic" w:eastAsia="Times New Roman" w:hAnsi="Traditional Arabic" w:cs="Traditional Arabic"/>
          <w:sz w:val="36"/>
          <w:szCs w:val="36"/>
          <w:lang w:val="en-US" w:eastAsia="fr-FR"/>
        </w:rPr>
        <w:endnoteReference w:customMarkFollows="1" w:id="36"/>
        <w:t>[49]</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 يأخذ الدارسون المحدثون على القدامى أنهم لم يهتموا بالجملة الاهتمام الذي كان بنبغي أن يكون، ويرون أنهم انحرفوا عن وجهة البحث الصحيح، وأنهم حين قصروا النحو على أواخر الكلمات وعلى تعرف أحكامها قد ضيقوا من حدوده الواسعة وضيعوا كثيرا من أحكام نظم الكلام وأسرار تأليف العبارة</w:t>
      </w:r>
      <w:r w:rsidRPr="007C16BD">
        <w:rPr>
          <w:rFonts w:ascii="Traditional Arabic" w:eastAsia="Times New Roman" w:hAnsi="Traditional Arabic" w:cs="Traditional Arabic"/>
          <w:sz w:val="36"/>
          <w:szCs w:val="36"/>
          <w:lang w:val="en-US" w:eastAsia="fr-FR"/>
        </w:rPr>
        <w:endnoteReference w:customMarkFollows="1" w:id="37"/>
        <w:t>[50]</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وهذهبعض آراء المحدثين لنلمس من خلالها الإضافات التي جاءت لتثري جهود القدماء أو تسهم في توجيه الدّرس النّحوي.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يرجع اهتمام الدارسين المحدثين بالجملة إلى أنها الوحدة التي تتمثل فيها أهم خصائص نظام اللغة، إذ إنّ تأليف الكلمات في كل لغة يجري على نظام خاص بها، لا تكون العبارات مفهومة، ولا مصورة لما يراد بها حتى تجري عليه ولا تزيغ عنه والقوانين التي تمثل هذا النظام وتحدّده تستقر في نفوس المتكلمين وملكاتهم وعنها يصدر الكلام في شكل وحدات أساسية تسمى جمل </w:t>
      </w:r>
      <w:r w:rsidRPr="007C16BD">
        <w:rPr>
          <w:rFonts w:ascii="Traditional Arabic" w:eastAsia="Times New Roman" w:hAnsi="Traditional Arabic" w:cs="Traditional Arabic"/>
          <w:sz w:val="36"/>
          <w:szCs w:val="36"/>
          <w:lang w:val="en-US" w:eastAsia="fr-FR"/>
        </w:rPr>
        <w:endnoteReference w:customMarkFollows="1" w:id="38"/>
        <w:t>[51]</w:t>
      </w:r>
      <w:r w:rsidRPr="007C16BD">
        <w:rPr>
          <w:rFonts w:ascii="Traditional Arabic" w:eastAsia="Times New Roman" w:hAnsi="Traditional Arabic" w:cs="Traditional Arabic"/>
          <w:sz w:val="36"/>
          <w:szCs w:val="36"/>
          <w:rtl/>
          <w:lang w:eastAsia="fr-FR"/>
        </w:rPr>
        <w:t xml:space="preserve">.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w:t>
      </w:r>
      <w:r w:rsidRPr="007C16BD">
        <w:rPr>
          <w:rFonts w:ascii="Traditional Arabic" w:eastAsia="Times New Roman" w:hAnsi="Traditional Arabic" w:cs="Traditional Arabic"/>
          <w:sz w:val="36"/>
          <w:szCs w:val="36"/>
          <w:rtl/>
          <w:lang w:val="en-US" w:eastAsia="fr-FR"/>
        </w:rPr>
        <w:t>يرى</w:t>
      </w:r>
      <w:r w:rsidRPr="007C16BD">
        <w:rPr>
          <w:rFonts w:ascii="Traditional Arabic" w:eastAsia="Times New Roman" w:hAnsi="Traditional Arabic" w:cs="Traditional Arabic"/>
          <w:sz w:val="36"/>
          <w:szCs w:val="36"/>
          <w:rtl/>
          <w:lang w:eastAsia="fr-FR"/>
        </w:rPr>
        <w:t>  تمّام حسّان أنّ الجملة هي</w:t>
      </w:r>
      <w:r w:rsidRPr="007C16BD">
        <w:rPr>
          <w:rFonts w:ascii="Traditional Arabic" w:eastAsia="Times New Roman" w:hAnsi="Traditional Arabic" w:cs="Traditional Arabic"/>
          <w:sz w:val="36"/>
          <w:szCs w:val="36"/>
          <w:lang w:val="en-US" w:eastAsia="fr-FR"/>
        </w:rPr>
        <w:t>:</w:t>
      </w:r>
      <w:r w:rsidRPr="007C16BD">
        <w:rPr>
          <w:rFonts w:ascii="Traditional Arabic" w:eastAsia="Times New Roman" w:hAnsi="Traditional Arabic" w:cs="Traditional Arabic"/>
          <w:sz w:val="36"/>
          <w:szCs w:val="36"/>
          <w:rtl/>
          <w:lang w:eastAsia="fr-FR"/>
        </w:rPr>
        <w:t xml:space="preserve"> «المجموعة الكلامية » فبذلك الكلام هو عبارة عن مجموعة من الجمل لذلك فهو أعمّ منها، ويضيف بقوله:« أمّا الذي يتكوّن من عملية الإسناد فيسمّى الجملة وهي ذات علاقات إسنادية مثل علاقة المبتدأ بالخبر، والفعل بفاعله والفعل ونائب فاعله والوصف المعتمد بفاعله أو نائب فاعله »</w:t>
      </w:r>
      <w:r w:rsidRPr="007C16BD">
        <w:rPr>
          <w:rFonts w:ascii="Traditional Arabic" w:eastAsia="Times New Roman" w:hAnsi="Traditional Arabic" w:cs="Traditional Arabic"/>
          <w:sz w:val="36"/>
          <w:szCs w:val="36"/>
          <w:vertAlign w:val="superscript"/>
          <w:lang w:val="en-US" w:eastAsia="fr-FR"/>
        </w:rPr>
        <w:endnoteReference w:customMarkFollows="1" w:id="39"/>
        <w:t>[52]</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كما يرى عبد السّلام المسدّي أن الجملة المستقلة هي أكبر وحدة نحوية في الكلاموتتميز بشيئين أولهما أنّ أجزاءها تترابط عضويا وثانيها أنها لا تندرج في بناء نحوي أوسع منها</w:t>
      </w:r>
      <w:r w:rsidRPr="007C16BD">
        <w:rPr>
          <w:rFonts w:ascii="Traditional Arabic" w:eastAsia="Times New Roman" w:hAnsi="Traditional Arabic" w:cs="Traditional Arabic"/>
          <w:sz w:val="36"/>
          <w:szCs w:val="36"/>
          <w:vertAlign w:val="superscript"/>
          <w:lang w:val="en-US" w:eastAsia="fr-FR"/>
        </w:rPr>
        <w:endnoteReference w:customMarkFollows="1" w:id="40"/>
        <w:t>[53]</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lastRenderedPageBreak/>
        <w:t> ذهب إبراهيم أنيس إلى تعريفه للجملة بقوله:« إن الجملة في أقصر صورها هي أقلّ قدر من الكلام يفيد السّامع معنى مستقلاّ بنفسه، سواء تركب هذا القدر من كلمة واحدة أو أكثر »</w:t>
      </w:r>
      <w:r w:rsidRPr="007C16BD">
        <w:rPr>
          <w:rFonts w:ascii="Traditional Arabic" w:eastAsia="Times New Roman" w:hAnsi="Traditional Arabic" w:cs="Traditional Arabic"/>
          <w:sz w:val="36"/>
          <w:szCs w:val="36"/>
          <w:vertAlign w:val="superscript"/>
          <w:lang w:val="en-US" w:eastAsia="fr-FR"/>
        </w:rPr>
        <w:endnoteReference w:customMarkFollows="1" w:id="41"/>
        <w:t>[54]</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هذا التعريف يجيز أن تتركّب الجملة من كلمة واحدة، أي إنّ فكرة الإسناد ليست لازمة لتشكيل جملة صحيحة، بالتالي لم يعقد تعريفا للجملة على أساس الإسناد.</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يذهب مهدي المخزومي إلى أنّ الجملة هي الصّورة اللّفظية الصّغرى للكلام المفيد في أي لغة من اللغات، وهي المركّب الذي يبين المتكلم به أن الصورة الذهنية كانت تألّفت أجزاؤها في ذهنه ثم هي الوسيلة التي تنقل ما جال في ذهن المتكلم إلى ذهن السامع. والجملة التامة التي تعبر عن أبسط الصور الذهنية التامة التي يصح السكوت عليها تتألف من ثلاثة عناصر رئيسة هي: المسند إليه أو المتحدث عنه أو المبنى عليه، المسند، الذي يبنى على المسند إليه</w:t>
      </w:r>
      <w:r w:rsidRPr="007C16BD">
        <w:rPr>
          <w:rFonts w:ascii="Traditional Arabic" w:eastAsia="Times New Roman" w:hAnsi="Traditional Arabic" w:cs="Traditional Arabic"/>
          <w:sz w:val="36"/>
          <w:szCs w:val="36"/>
          <w:vertAlign w:val="superscript"/>
          <w:lang w:val="en-US" w:eastAsia="fr-FR"/>
        </w:rPr>
        <w:endnoteReference w:customMarkFollows="1" w:id="42"/>
        <w:t>[55]</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من خلال التعريف نجده يشترط أن يكون الإسناد أحد مقوماتها فالتركيب الذي لا إسناد فيه كالنداء يسميه " المركب اللفظي"؛ إلا أنه عندما اشترط الإسناد أساسا للجملة فإنّه لم يتمكّن من إحداث فكرة كاملة في أسلوب الشّرط، لأنّ هذا الأخير يتكوّن من جملتين تربط بينهما أداة الشّرط، كلّ منهما هي جملة تحقق فيها شرط الإسناد، ومع ذلك لم يكتمل المعنى، لكنه تراجع عن ذلك لأننا في الشّرط إذا نطقنا بجملة واحدة فإنه لا يكتمل المعنى بقوله:« ليست جملة الشّرط جملتين إلاّ بالنظر العقلي والتحليل المنطقي، </w:t>
      </w:r>
      <w:r w:rsidRPr="007C16BD">
        <w:rPr>
          <w:rFonts w:ascii="Traditional Arabic" w:eastAsia="Times New Roman" w:hAnsi="Traditional Arabic" w:cs="Traditional Arabic"/>
          <w:sz w:val="36"/>
          <w:szCs w:val="36"/>
          <w:rtl/>
          <w:lang w:val="en-US" w:eastAsia="fr-FR"/>
        </w:rPr>
        <w:t>أ</w:t>
      </w:r>
      <w:r w:rsidRPr="007C16BD">
        <w:rPr>
          <w:rFonts w:ascii="Traditional Arabic" w:eastAsia="Times New Roman" w:hAnsi="Traditional Arabic" w:cs="Traditional Arabic"/>
          <w:sz w:val="36"/>
          <w:szCs w:val="36"/>
          <w:rtl/>
          <w:lang w:eastAsia="fr-FR"/>
        </w:rPr>
        <w:t>مّا النّظر اللّغوي فجملتا الشّرط جملة واحدة، وتعبير لا يقبل الانشطار، لأنّ الجزأين المعقولين فيها إنما يعبّران معا عن فكرة واحدة، لأنّك إذا اقتصرت على واحدة منهما أخلت بالإفصاح عمّا يجول في ذهنك وقصرت عما يجول فيه إلى ذهن السامع»</w:t>
      </w:r>
      <w:r w:rsidRPr="007C16BD">
        <w:rPr>
          <w:rFonts w:ascii="Traditional Arabic" w:eastAsia="Times New Roman" w:hAnsi="Traditional Arabic" w:cs="Traditional Arabic"/>
          <w:sz w:val="36"/>
          <w:szCs w:val="36"/>
          <w:vertAlign w:val="superscript"/>
          <w:lang w:val="en-US" w:eastAsia="fr-FR"/>
        </w:rPr>
        <w:endnoteReference w:customMarkFollows="1" w:id="43"/>
        <w:t>[56]</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وعند عبّاس حسن الكلام أو الجملة هو ما ترّكب من كلمتين أو أكثر، وله معنى مفيد مستقل، ويقرّر أنّ الجملة الخبرية إذا وقعت صلة للموصول أو نعتا أو حالا أو تابعة لشيء </w:t>
      </w:r>
      <w:r w:rsidRPr="007C16BD">
        <w:rPr>
          <w:rFonts w:ascii="Traditional Arabic" w:eastAsia="Times New Roman" w:hAnsi="Traditional Arabic" w:cs="Traditional Arabic"/>
          <w:sz w:val="36"/>
          <w:szCs w:val="36"/>
          <w:rtl/>
          <w:lang w:eastAsia="fr-FR"/>
        </w:rPr>
        <w:lastRenderedPageBreak/>
        <w:t xml:space="preserve">آخر كجملة الشّرط لا جوابه فإنّها لا تسمّى جملة إذ لا يكون فيها كلام مستقل بالسلب أو الإيجاب تنفرد به، ويقتصر عليها وحدها </w:t>
      </w:r>
      <w:r w:rsidRPr="007C16BD">
        <w:rPr>
          <w:rFonts w:ascii="Traditional Arabic" w:eastAsia="Times New Roman" w:hAnsi="Traditional Arabic" w:cs="Traditional Arabic"/>
          <w:sz w:val="36"/>
          <w:szCs w:val="36"/>
          <w:vertAlign w:val="superscript"/>
          <w:lang w:val="en-US" w:eastAsia="fr-FR"/>
        </w:rPr>
        <w:endnoteReference w:customMarkFollows="1" w:id="44"/>
        <w:t>[57]</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 ما نلاحظه أن مفهوم التركيب يأخدّ حيّزا واضحا من اهتمامات اللسانيّن، فيُتخذّ أساسا لتعريف الجملة من منظور كونها تركيبا لغويا مستقلا غير محتوي في تركيب أكبر منه؛ فعباس حسن ينصّ على أن يكون للجملة كيان مستقلّ معنوي. فإذا كان المركب الإسنادي من فعل وفاعل أو مبتدأ وخبر يمثل عنصرا في تركيب لغوي أطول لا يسمّى جملة</w:t>
      </w:r>
      <w:r w:rsidRPr="007C16BD">
        <w:rPr>
          <w:rFonts w:ascii="Traditional Arabic" w:eastAsia="Times New Roman" w:hAnsi="Traditional Arabic" w:cs="Traditional Arabic"/>
          <w:sz w:val="36"/>
          <w:szCs w:val="36"/>
          <w:lang w:eastAsia="fr-FR"/>
        </w:rPr>
        <w:t xml:space="preserve"> </w:t>
      </w:r>
      <w:r w:rsidRPr="007C16BD">
        <w:rPr>
          <w:rFonts w:ascii="Traditional Arabic" w:eastAsia="Times New Roman" w:hAnsi="Traditional Arabic" w:cs="Traditional Arabic"/>
          <w:sz w:val="36"/>
          <w:szCs w:val="36"/>
          <w:rtl/>
          <w:lang w:eastAsia="fr-FR"/>
        </w:rPr>
        <w:t>،هذا التّعريف للجملة يطابق تعريف بلومفيد</w:t>
      </w:r>
      <w:r w:rsidRPr="007C16BD">
        <w:rPr>
          <w:rFonts w:ascii="Traditional Arabic" w:eastAsia="Times New Roman" w:hAnsi="Traditional Arabic" w:cs="Traditional Arabic"/>
          <w:sz w:val="36"/>
          <w:szCs w:val="36"/>
          <w:lang w:val="en-US" w:eastAsia="fr-FR"/>
        </w:rPr>
        <w:t xml:space="preserve">  Bloomfield </w:t>
      </w:r>
      <w:r w:rsidRPr="007C16BD">
        <w:rPr>
          <w:rFonts w:ascii="Traditional Arabic" w:eastAsia="Times New Roman" w:hAnsi="Traditional Arabic" w:cs="Traditional Arabic"/>
          <w:sz w:val="36"/>
          <w:szCs w:val="36"/>
          <w:rtl/>
          <w:lang w:eastAsia="fr-FR"/>
        </w:rPr>
        <w:t>إذ يعرف الجملة بأنها الشكل اللغوي المستقل الذي لا يكون متضمنا في تركيب نحوي أو شكل لغوي أطول</w:t>
      </w:r>
      <w:r w:rsidRPr="007C16BD">
        <w:rPr>
          <w:rFonts w:ascii="Traditional Arabic" w:eastAsia="Times New Roman" w:hAnsi="Traditional Arabic" w:cs="Traditional Arabic"/>
          <w:sz w:val="36"/>
          <w:szCs w:val="36"/>
          <w:vertAlign w:val="superscript"/>
          <w:lang w:val="en-US" w:eastAsia="fr-FR"/>
        </w:rPr>
        <w:endnoteReference w:customMarkFollows="1" w:id="45"/>
        <w:t>[58]</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وجاء تعريف الجملة في معجم لاروس </w:t>
      </w:r>
      <w:r w:rsidRPr="007C16BD">
        <w:rPr>
          <w:rFonts w:ascii="Traditional Arabic" w:eastAsia="Times New Roman" w:hAnsi="Traditional Arabic" w:cs="Traditional Arabic"/>
          <w:sz w:val="36"/>
          <w:szCs w:val="36"/>
          <w:lang w:eastAsia="fr-FR"/>
        </w:rPr>
        <w:t>Larousse</w:t>
      </w:r>
      <w:r w:rsidRPr="007C16BD">
        <w:rPr>
          <w:rFonts w:ascii="Traditional Arabic" w:eastAsia="Times New Roman" w:hAnsi="Traditional Arabic" w:cs="Traditional Arabic"/>
          <w:sz w:val="36"/>
          <w:szCs w:val="36"/>
          <w:rtl/>
          <w:lang w:eastAsia="fr-FR"/>
        </w:rPr>
        <w:t xml:space="preserve"> بأنّها وحدة تركيبية تتضمّن عادة فعلا ترتبط به في الغالب عدة كلمات، وينشأ عنها تعبير عن فكرة </w:t>
      </w:r>
      <w:r w:rsidRPr="007C16BD">
        <w:rPr>
          <w:rFonts w:ascii="Traditional Arabic" w:eastAsia="Times New Roman" w:hAnsi="Traditional Arabic" w:cs="Traditional Arabic"/>
          <w:sz w:val="36"/>
          <w:szCs w:val="36"/>
          <w:vertAlign w:val="superscript"/>
          <w:lang w:val="en-US" w:eastAsia="fr-FR"/>
        </w:rPr>
        <w:endnoteReference w:customMarkFollows="1" w:id="46"/>
        <w:t>[59]</w:t>
      </w:r>
      <w:r w:rsidRPr="007C16BD">
        <w:rPr>
          <w:rFonts w:ascii="Traditional Arabic" w:eastAsia="Times New Roman" w:hAnsi="Traditional Arabic" w:cs="Traditional Arabic"/>
          <w:sz w:val="36"/>
          <w:szCs w:val="36"/>
          <w:rtl/>
          <w:lang w:eastAsia="fr-FR"/>
        </w:rPr>
        <w:t>، فهذا التعريف قد ربط بين الإسناد  والإفائدة وهو لا يفرق بين الكلام والجملة، ولعلّ هذا التعريف موافق لما جاء عند عباس حسن.</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تطرق برجستراسر  إلى الفرق بين الكلام والجملة وهو اتجاه آخر، فرأى أن أكثر الكلام عنده جمل، والجملة مركبة من المسند ومسند إليه</w:t>
      </w:r>
      <w:r w:rsidRPr="007C16BD">
        <w:rPr>
          <w:rFonts w:ascii="Traditional Arabic" w:eastAsia="Times New Roman" w:hAnsi="Traditional Arabic" w:cs="Traditional Arabic"/>
          <w:sz w:val="36"/>
          <w:szCs w:val="36"/>
          <w:lang w:val="en-US" w:eastAsia="fr-FR"/>
        </w:rPr>
        <w:endnoteReference w:customMarkFollows="1" w:id="47"/>
        <w:t>[60]</w:t>
      </w:r>
      <w:r w:rsidRPr="007C16BD">
        <w:rPr>
          <w:rFonts w:ascii="Traditional Arabic" w:eastAsia="Times New Roman" w:hAnsi="Traditional Arabic" w:cs="Traditional Arabic"/>
          <w:sz w:val="36"/>
          <w:szCs w:val="36"/>
          <w:rtl/>
          <w:lang w:eastAsia="fr-FR"/>
        </w:rPr>
        <w:t>،ويذهب إلى أنّ من الكلام ما ليس بجملة، بل هو كلمات مفردة أو تركيبات وصفية أو إضافية أو عاطفية غير إسنادية، مثل ذلك النداء .فإن (يا حسن) "ليس جملة ولا قسما من جملة، وهو مع ذلك كلام"</w:t>
      </w:r>
      <w:r w:rsidRPr="007C16BD">
        <w:rPr>
          <w:rFonts w:ascii="Traditional Arabic" w:eastAsia="Times New Roman" w:hAnsi="Traditional Arabic" w:cs="Traditional Arabic"/>
          <w:sz w:val="36"/>
          <w:szCs w:val="36"/>
          <w:lang w:val="en-US" w:eastAsia="fr-FR"/>
        </w:rPr>
        <w:endnoteReference w:customMarkFollows="1" w:id="48"/>
        <w:t>[61]</w:t>
      </w:r>
      <w:r w:rsidRPr="007C16BD">
        <w:rPr>
          <w:rFonts w:ascii="Traditional Arabic" w:eastAsia="Times New Roman" w:hAnsi="Traditional Arabic" w:cs="Traditional Arabic"/>
          <w:sz w:val="36"/>
          <w:szCs w:val="36"/>
          <w:rtl/>
          <w:lang w:eastAsia="fr-FR"/>
        </w:rPr>
        <w:t xml:space="preserve"> فعنده كل كلام جملة وليس كل جملة </w:t>
      </w:r>
      <w:r w:rsidRPr="007C16BD">
        <w:rPr>
          <w:rFonts w:ascii="Traditional Arabic" w:eastAsia="Times New Roman" w:hAnsi="Traditional Arabic" w:cs="Traditional Arabic"/>
          <w:sz w:val="36"/>
          <w:szCs w:val="36"/>
          <w:rtl/>
          <w:lang w:val="en-US" w:eastAsia="fr-FR"/>
        </w:rPr>
        <w:t>كلاما</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وإذا اتجهنا إلى دي سوسير </w:t>
      </w:r>
      <w:r w:rsidRPr="007C16BD">
        <w:rPr>
          <w:rFonts w:ascii="Traditional Arabic" w:eastAsia="Times New Roman" w:hAnsi="Traditional Arabic" w:cs="Traditional Arabic"/>
          <w:sz w:val="36"/>
          <w:szCs w:val="36"/>
          <w:lang w:val="en-US" w:eastAsia="fr-FR"/>
        </w:rPr>
        <w:t>De Saussure</w:t>
      </w:r>
      <w:r w:rsidRPr="007C16BD">
        <w:rPr>
          <w:rFonts w:ascii="Traditional Arabic" w:eastAsia="Times New Roman" w:hAnsi="Traditional Arabic" w:cs="Traditional Arabic"/>
          <w:sz w:val="36"/>
          <w:szCs w:val="36"/>
          <w:rtl/>
          <w:lang w:eastAsia="fr-FR"/>
        </w:rPr>
        <w:t xml:space="preserve"> نجد أنّه تناول الدراسة اللّسانية للّغة عن طريق الثنائيات، فكانت دراسته دقيقة ومعقدة، فقد ربط دراسته بعلوم مختلفة تبدو للوهلة الأولى بعيدة عن اللغة، مثلا هو يرى بأن الكلام  </w:t>
      </w:r>
      <w:r w:rsidRPr="007C16BD">
        <w:rPr>
          <w:rFonts w:ascii="Traditional Arabic" w:eastAsia="Times New Roman" w:hAnsi="Traditional Arabic" w:cs="Traditional Arabic"/>
          <w:sz w:val="36"/>
          <w:szCs w:val="36"/>
          <w:lang w:eastAsia="fr-FR"/>
        </w:rPr>
        <w:t>Parole</w:t>
      </w:r>
      <w:r w:rsidRPr="007C16BD">
        <w:rPr>
          <w:rFonts w:ascii="Traditional Arabic" w:eastAsia="Times New Roman" w:hAnsi="Traditional Arabic" w:cs="Traditional Arabic"/>
          <w:sz w:val="36"/>
          <w:szCs w:val="36"/>
          <w:rtl/>
          <w:lang w:eastAsia="fr-FR"/>
        </w:rPr>
        <w:t xml:space="preserve"> له أشكال متعددة؛ فيزيائي، وفيزيولوجي، وهو فردي </w:t>
      </w:r>
      <w:r w:rsidRPr="007C16BD">
        <w:rPr>
          <w:rFonts w:ascii="Traditional Arabic" w:eastAsia="Times New Roman" w:hAnsi="Traditional Arabic" w:cs="Traditional Arabic"/>
          <w:sz w:val="36"/>
          <w:szCs w:val="36"/>
          <w:lang w:eastAsia="fr-FR"/>
        </w:rPr>
        <w:t>Individuel</w:t>
      </w:r>
      <w:r w:rsidRPr="007C16BD">
        <w:rPr>
          <w:rFonts w:ascii="Traditional Arabic" w:eastAsia="Times New Roman" w:hAnsi="Traditional Arabic" w:cs="Traditional Arabic"/>
          <w:sz w:val="36"/>
          <w:szCs w:val="36"/>
          <w:rtl/>
          <w:lang w:eastAsia="fr-FR"/>
        </w:rPr>
        <w:t xml:space="preserve"> ، واجتماعي</w:t>
      </w:r>
      <w:r w:rsidRPr="007C16BD">
        <w:rPr>
          <w:rFonts w:ascii="Traditional Arabic" w:eastAsia="Times New Roman" w:hAnsi="Traditional Arabic" w:cs="Traditional Arabic"/>
          <w:sz w:val="36"/>
          <w:szCs w:val="36"/>
          <w:lang w:eastAsia="fr-FR"/>
        </w:rPr>
        <w:t xml:space="preserve">Social </w:t>
      </w:r>
      <w:r w:rsidRPr="007C16BD">
        <w:rPr>
          <w:rFonts w:ascii="Traditional Arabic" w:eastAsia="Times New Roman" w:hAnsi="Traditional Arabic" w:cs="Traditional Arabic"/>
          <w:sz w:val="36"/>
          <w:szCs w:val="36"/>
          <w:rtl/>
          <w:lang w:eastAsia="fr-FR"/>
        </w:rPr>
        <w:t xml:space="preserve"> في الوقت نفسه، واللغة </w:t>
      </w:r>
      <w:r w:rsidRPr="007C16BD">
        <w:rPr>
          <w:rFonts w:ascii="Traditional Arabic" w:eastAsia="Times New Roman" w:hAnsi="Traditional Arabic" w:cs="Traditional Arabic"/>
          <w:sz w:val="36"/>
          <w:szCs w:val="36"/>
          <w:lang w:val="en-US" w:eastAsia="fr-FR"/>
        </w:rPr>
        <w:t>Langage</w:t>
      </w:r>
      <w:r w:rsidRPr="007C16BD">
        <w:rPr>
          <w:rFonts w:ascii="Traditional Arabic" w:eastAsia="Times New Roman" w:hAnsi="Traditional Arabic" w:cs="Traditional Arabic"/>
          <w:sz w:val="36"/>
          <w:szCs w:val="36"/>
          <w:rtl/>
          <w:lang w:eastAsia="fr-FR"/>
        </w:rPr>
        <w:t xml:space="preserve">عنده أكثر أهمية من الكلام، فهي نتاج اجتماعي لملكة الكلام ، </w:t>
      </w:r>
      <w:r w:rsidRPr="007C16BD">
        <w:rPr>
          <w:rFonts w:ascii="Traditional Arabic" w:eastAsia="Times New Roman" w:hAnsi="Traditional Arabic" w:cs="Traditional Arabic"/>
          <w:sz w:val="36"/>
          <w:szCs w:val="36"/>
          <w:rtl/>
          <w:lang w:eastAsia="fr-FR"/>
        </w:rPr>
        <w:lastRenderedPageBreak/>
        <w:t>ومجموعة من المواصفات يتبناها الكيان الاجتماعي ليمكن الأفراد من ممارسة هذه الملكة</w:t>
      </w:r>
      <w:r w:rsidRPr="007C16BD">
        <w:rPr>
          <w:rFonts w:ascii="Traditional Arabic" w:eastAsia="Times New Roman" w:hAnsi="Traditional Arabic" w:cs="Traditional Arabic"/>
          <w:sz w:val="36"/>
          <w:szCs w:val="36"/>
          <w:lang w:val="en-US" w:eastAsia="fr-FR"/>
        </w:rPr>
        <w:endnoteReference w:customMarkFollows="1" w:id="49"/>
        <w:t>[62]</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نصل في نهاية المطاف إلى </w:t>
      </w:r>
      <w:r w:rsidRPr="007C16BD">
        <w:rPr>
          <w:rFonts w:ascii="Traditional Arabic" w:eastAsia="Times New Roman" w:hAnsi="Traditional Arabic" w:cs="Traditional Arabic"/>
          <w:sz w:val="36"/>
          <w:szCs w:val="36"/>
          <w:rtl/>
          <w:lang w:val="en-US" w:eastAsia="fr-FR"/>
        </w:rPr>
        <w:t>العالم</w:t>
      </w:r>
      <w:r w:rsidRPr="007C16BD">
        <w:rPr>
          <w:rFonts w:ascii="Traditional Arabic" w:eastAsia="Times New Roman" w:hAnsi="Traditional Arabic" w:cs="Traditional Arabic"/>
          <w:sz w:val="36"/>
          <w:szCs w:val="36"/>
          <w:rtl/>
          <w:lang w:eastAsia="fr-FR"/>
        </w:rPr>
        <w:t xml:space="preserve"> اللغوي  تشومسكي</w:t>
      </w:r>
      <w:r w:rsidRPr="007C16BD">
        <w:rPr>
          <w:rFonts w:ascii="Traditional Arabic" w:eastAsia="Times New Roman" w:hAnsi="Traditional Arabic" w:cs="Traditional Arabic"/>
          <w:sz w:val="36"/>
          <w:szCs w:val="36"/>
          <w:lang w:eastAsia="fr-FR"/>
        </w:rPr>
        <w:t xml:space="preserve">Chomsky </w:t>
      </w:r>
      <w:r w:rsidRPr="007C16BD">
        <w:rPr>
          <w:rFonts w:ascii="Traditional Arabic" w:eastAsia="Times New Roman" w:hAnsi="Traditional Arabic" w:cs="Traditional Arabic"/>
          <w:sz w:val="36"/>
          <w:szCs w:val="36"/>
          <w:rtl/>
          <w:lang w:eastAsia="fr-FR"/>
        </w:rPr>
        <w:t xml:space="preserve"> الذي ركّز في دراسته للنحو على القواعد الكلية التي تتيح توليد عدد غير متناه من الجمل يفهمها المتكلم أو السّامع لأول مرّة يسمعها، وهذه القواعد تشترك فيها جميع اللّغات </w:t>
      </w:r>
      <w:r w:rsidRPr="007C16BD">
        <w:rPr>
          <w:rFonts w:ascii="Traditional Arabic" w:eastAsia="Times New Roman" w:hAnsi="Traditional Arabic" w:cs="Traditional Arabic"/>
          <w:sz w:val="36"/>
          <w:szCs w:val="36"/>
          <w:lang w:eastAsia="fr-FR"/>
        </w:rPr>
        <w:endnoteReference w:customMarkFollows="1" w:id="50"/>
        <w:t>[63]</w:t>
      </w:r>
      <w:r w:rsidRPr="007C16BD">
        <w:rPr>
          <w:rFonts w:ascii="Traditional Arabic" w:eastAsia="Times New Roman" w:hAnsi="Traditional Arabic" w:cs="Traditional Arabic"/>
          <w:sz w:val="36"/>
          <w:szCs w:val="36"/>
          <w:rtl/>
          <w:lang w:eastAsia="fr-FR"/>
        </w:rPr>
        <w:t xml:space="preserve">؛ ويتضمّن تعريف اللّغة عنده تعريفا للجملة، يقول:« نعتبر أنّ اللّغة هي مجموعة منتهية أوغير منتهية من الجمل، كلّ جملة منها طولها محدود ومكّونة من مجموعة منتهية من العناصر، وكل اللّغات الطبيعية، في شكلها المكتوب والمحكي تتوافق مع هذا التّعريف، ذلك أن كلّ لغة طبيعية تحتوي على عدد متناه من الفونيمات </w:t>
      </w:r>
      <w:r w:rsidRPr="007C16BD">
        <w:rPr>
          <w:rFonts w:ascii="Traditional Arabic" w:eastAsia="Times New Roman" w:hAnsi="Traditional Arabic" w:cs="Traditional Arabic"/>
          <w:sz w:val="36"/>
          <w:szCs w:val="36"/>
          <w:lang w:eastAsia="fr-FR"/>
        </w:rPr>
        <w:t> </w:t>
      </w:r>
      <w:r w:rsidRPr="007C16BD">
        <w:rPr>
          <w:rFonts w:ascii="Traditional Arabic" w:eastAsia="Times New Roman" w:hAnsi="Traditional Arabic" w:cs="Traditional Arabic"/>
          <w:sz w:val="36"/>
          <w:szCs w:val="36"/>
          <w:rtl/>
          <w:lang w:eastAsia="fr-FR"/>
        </w:rPr>
        <w:t> </w:t>
      </w:r>
      <w:r w:rsidRPr="007C16BD">
        <w:rPr>
          <w:rFonts w:ascii="Traditional Arabic" w:eastAsia="Times New Roman" w:hAnsi="Traditional Arabic" w:cs="Traditional Arabic"/>
          <w:sz w:val="36"/>
          <w:szCs w:val="36"/>
          <w:lang w:eastAsia="fr-FR"/>
        </w:rPr>
        <w:t>Phonèmes</w:t>
      </w:r>
      <w:r w:rsidRPr="007C16BD">
        <w:rPr>
          <w:rFonts w:ascii="Traditional Arabic" w:eastAsia="Times New Roman" w:hAnsi="Traditional Arabic" w:cs="Traditional Arabic"/>
          <w:sz w:val="36"/>
          <w:szCs w:val="36"/>
          <w:rtl/>
          <w:lang w:eastAsia="fr-FR"/>
        </w:rPr>
        <w:t xml:space="preserve"> (الحروف الأبجدية) وكل جملة بالإمكان تصوّرها كتتابع فونيمات علما بأن عدد الجمل غير متناه»</w:t>
      </w:r>
      <w:r w:rsidRPr="007C16BD">
        <w:rPr>
          <w:rFonts w:ascii="Traditional Arabic" w:eastAsia="Times New Roman" w:hAnsi="Traditional Arabic" w:cs="Traditional Arabic"/>
          <w:sz w:val="36"/>
          <w:szCs w:val="36"/>
          <w:lang w:eastAsia="fr-FR"/>
        </w:rPr>
        <w:endnoteReference w:customMarkFollows="1" w:id="51"/>
        <w:t>[64]</w:t>
      </w:r>
      <w:r w:rsidRPr="007C16BD">
        <w:rPr>
          <w:rFonts w:ascii="Traditional Arabic" w:eastAsia="Times New Roman" w:hAnsi="Traditional Arabic" w:cs="Traditional Arabic"/>
          <w:sz w:val="36"/>
          <w:szCs w:val="36"/>
          <w:rtl/>
          <w:lang w:eastAsia="fr-FR"/>
        </w:rPr>
        <w:t>، نلاحظ من خلال هذا التّعريف أنّ تشومسكي يحدد الجملة بتتابع الأصوات فهو لا يركّز على الإسناد بين عناصر الجملة ويغفل الجانب الدلالي؛ ويسمّي تشومسكي الجملة الصحيحة بالجملة الأصولية وهي التي تكون مركّبة على نحو جيد، وهي غير أصولية</w:t>
      </w:r>
      <w:r w:rsidRPr="007C16BD">
        <w:rPr>
          <w:rFonts w:ascii="Traditional Arabic" w:eastAsia="Times New Roman" w:hAnsi="Traditional Arabic" w:cs="Traditional Arabic"/>
          <w:sz w:val="36"/>
          <w:szCs w:val="36"/>
          <w:lang w:eastAsia="fr-FR"/>
        </w:rPr>
        <w:t xml:space="preserve">agrammatical </w:t>
      </w:r>
      <w:r w:rsidRPr="007C16BD">
        <w:rPr>
          <w:rFonts w:ascii="Traditional Arabic" w:eastAsia="Times New Roman" w:hAnsi="Traditional Arabic" w:cs="Traditional Arabic"/>
          <w:sz w:val="36"/>
          <w:szCs w:val="36"/>
          <w:rtl/>
          <w:lang w:eastAsia="fr-FR"/>
        </w:rPr>
        <w:t> إذا انحرفت عن المبادئ التي تحدد الأصولية في هذه اللغة</w:t>
      </w:r>
      <w:r w:rsidRPr="007C16BD">
        <w:rPr>
          <w:rFonts w:ascii="Traditional Arabic" w:eastAsia="Times New Roman" w:hAnsi="Traditional Arabic" w:cs="Traditional Arabic"/>
          <w:sz w:val="36"/>
          <w:szCs w:val="36"/>
          <w:lang w:eastAsia="fr-FR"/>
        </w:rPr>
        <w:endnoteReference w:customMarkFollows="1" w:id="52"/>
        <w:t>[65]</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ويدرك تشوسكي أنّ للجملة بنيتين؛ العميقة </w:t>
      </w:r>
      <w:r w:rsidRPr="007C16BD">
        <w:rPr>
          <w:rFonts w:ascii="Traditional Arabic" w:eastAsia="Times New Roman" w:hAnsi="Traditional Arabic" w:cs="Traditional Arabic"/>
          <w:sz w:val="36"/>
          <w:szCs w:val="36"/>
          <w:lang w:eastAsia="fr-FR"/>
        </w:rPr>
        <w:t xml:space="preserve">Profonde </w:t>
      </w:r>
      <w:r w:rsidRPr="007C16BD">
        <w:rPr>
          <w:rFonts w:ascii="Traditional Arabic" w:eastAsia="Times New Roman" w:hAnsi="Traditional Arabic" w:cs="Traditional Arabic"/>
          <w:sz w:val="36"/>
          <w:szCs w:val="36"/>
          <w:rtl/>
          <w:lang w:eastAsia="fr-FR"/>
        </w:rPr>
        <w:t> والسّطحية</w:t>
      </w:r>
      <w:r w:rsidRPr="007C16BD">
        <w:rPr>
          <w:rFonts w:ascii="Traditional Arabic" w:eastAsia="Times New Roman" w:hAnsi="Traditional Arabic" w:cs="Traditional Arabic"/>
          <w:sz w:val="36"/>
          <w:szCs w:val="36"/>
          <w:lang w:eastAsia="fr-FR"/>
        </w:rPr>
        <w:t xml:space="preserve">  Surface </w:t>
      </w:r>
      <w:r w:rsidRPr="007C16BD">
        <w:rPr>
          <w:rFonts w:ascii="Traditional Arabic" w:eastAsia="Times New Roman" w:hAnsi="Traditional Arabic" w:cs="Traditional Arabic"/>
          <w:sz w:val="36"/>
          <w:szCs w:val="36"/>
          <w:rtl/>
          <w:lang w:eastAsia="fr-FR"/>
        </w:rPr>
        <w:t xml:space="preserve">، ونميِّز بين الجملة العميقة وبين بنية الجملة السّطحية: الأولى هي البنية المجرَّدة والضمنية والتي تُعين التفسير الدلالي، والأخرى هي ترتيب الوحدات السّطحي الذي يُحدّد التّفسير الفونيتيكي والذي يُردّ إلى شكل الكلام الفعلي الفيزيائي وإلى شكله المقصود والمُدرك </w:t>
      </w:r>
      <w:r w:rsidRPr="007C16BD">
        <w:rPr>
          <w:rFonts w:ascii="Traditional Arabic" w:eastAsia="Times New Roman" w:hAnsi="Traditional Arabic" w:cs="Traditional Arabic"/>
          <w:sz w:val="36"/>
          <w:szCs w:val="36"/>
          <w:lang w:val="en-US" w:eastAsia="fr-FR"/>
        </w:rPr>
        <w:endnoteReference w:customMarkFollows="1" w:id="53"/>
        <w:t>[66]</w:t>
      </w:r>
      <w:r w:rsidRPr="007C16BD">
        <w:rPr>
          <w:rFonts w:ascii="Traditional Arabic" w:eastAsia="Times New Roman" w:hAnsi="Traditional Arabic" w:cs="Traditional Arabic"/>
          <w:sz w:val="36"/>
          <w:szCs w:val="36"/>
          <w:rtl/>
          <w:lang w:eastAsia="fr-FR"/>
        </w:rPr>
        <w:t>،  والذي يبدو أنّ هذا الاختلاف أمر طبيعي، فقد نقل صاحب نظام الجملة في شعر المعلقات عن يونغ أن تعريفات الجملة تربو على الثلاثمائة</w:t>
      </w:r>
      <w:r w:rsidRPr="007C16BD">
        <w:rPr>
          <w:rFonts w:ascii="Traditional Arabic" w:eastAsia="Times New Roman" w:hAnsi="Traditional Arabic" w:cs="Traditional Arabic"/>
          <w:sz w:val="36"/>
          <w:szCs w:val="36"/>
          <w:vertAlign w:val="superscript"/>
          <w:lang w:val="en-US" w:eastAsia="fr-FR"/>
        </w:rPr>
        <w:endnoteReference w:customMarkFollows="1" w:id="54"/>
        <w:t>[67]</w:t>
      </w:r>
      <w:r w:rsidRPr="007C16BD">
        <w:rPr>
          <w:rFonts w:ascii="Traditional Arabic" w:eastAsia="Times New Roman" w:hAnsi="Traditional Arabic" w:cs="Traditional Arabic"/>
          <w:sz w:val="36"/>
          <w:szCs w:val="36"/>
          <w:rtl/>
          <w:lang w:eastAsia="fr-FR"/>
        </w:rPr>
        <w:t xml:space="preserve">، ويذكر جورج مونان أن هناك مائتي تعريف للجملة، وهذه التّعريفات تصدر عن منطلقات مختلفة منها :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_ المنطلق النّسبي المنطقي والذي يركز على الإفادة، أو كما يقول نحاتنا على المعنى الذي يحسن السّكوت عليه.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lastRenderedPageBreak/>
        <w:t> _ المنطلق المنطقي والذي يرى أنّ الجملة تعبّر عن قضيّة وأنّ أجزاء القضية  وهما يشبهان المسند والمسند إليه عندنا.</w:t>
      </w:r>
      <w:r w:rsidRPr="007C16BD">
        <w:rPr>
          <w:rFonts w:ascii="Traditional Arabic" w:eastAsia="Times New Roman" w:hAnsi="Traditional Arabic" w:cs="Traditional Arabic"/>
          <w:sz w:val="36"/>
          <w:szCs w:val="36"/>
          <w:lang w:val="en-US" w:eastAsia="fr-FR"/>
        </w:rPr>
        <w:t>sujet et prédicat</w:t>
      </w:r>
      <w:r w:rsidRPr="007C16BD">
        <w:rPr>
          <w:rFonts w:ascii="Traditional Arabic" w:eastAsia="Times New Roman" w:hAnsi="Traditional Arabic" w:cs="Traditional Arabic"/>
          <w:sz w:val="36"/>
          <w:szCs w:val="36"/>
          <w:rtl/>
          <w:lang w:eastAsia="fr-FR"/>
        </w:rPr>
        <w:t>  الموضوع والمحمول</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_ المنطلق الصّوتي والذي ينظر إلى الجملة من خلال الفواصل والمقاطع والمنحى الصّوتي.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_المنطلق الكتابي والذي يقصد في تحليله أو دراسته للجملة انطلاقا ممّا هو مكتوب  وليس ممّا هو منطوق</w:t>
      </w:r>
      <w:r w:rsidRPr="007C16BD">
        <w:rPr>
          <w:rFonts w:ascii="Traditional Arabic" w:eastAsia="Times New Roman" w:hAnsi="Traditional Arabic" w:cs="Traditional Arabic"/>
          <w:sz w:val="36"/>
          <w:szCs w:val="36"/>
          <w:vertAlign w:val="superscript"/>
          <w:lang w:val="en-US" w:eastAsia="fr-FR"/>
        </w:rPr>
        <w:endnoteReference w:customMarkFollows="1" w:id="55"/>
        <w:t>[68]</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واللافت للانتباه أنّ المحدثين استطاعوا تفادي الكثير مما وقع فيه القدماء حول الفرق بين مصطلحي الكلام والجملة، فقد استطاعوا أن يتخلّصوا من بعض القيود التي ربطت التفكير اللّغوي القديم بالتفكير الفلسفي والمنطقي. وقد درس المحدثون اللّغة بعيدا كلّ البعد عن الخلفيات الفلسفية معتمدين على الملاحظة والاستقراء والفرضيات وقد ثار كثير منهم ضد الدّرس القديم ومنهجه الذي شبه بالمنهج الفقهي عندما بدأ القول بالوجوب والجواز وأصبحت القواعد سيدة النصوص</w:t>
      </w:r>
      <w:r w:rsidRPr="007C16BD">
        <w:rPr>
          <w:rFonts w:ascii="Traditional Arabic" w:eastAsia="Times New Roman" w:hAnsi="Traditional Arabic" w:cs="Traditional Arabic"/>
          <w:sz w:val="36"/>
          <w:szCs w:val="36"/>
          <w:lang w:val="en-US" w:eastAsia="fr-FR"/>
        </w:rPr>
        <w:endnoteReference w:customMarkFollows="1" w:id="56"/>
        <w:t>[69]</w:t>
      </w:r>
      <w:r w:rsidRPr="007C16BD">
        <w:rPr>
          <w:rFonts w:ascii="Traditional Arabic" w:eastAsia="Times New Roman" w:hAnsi="Traditional Arabic" w:cs="Traditional Arabic"/>
          <w:sz w:val="36"/>
          <w:szCs w:val="36"/>
          <w:rtl/>
          <w:lang w:eastAsia="fr-FR"/>
        </w:rPr>
        <w:t xml:space="preserve">.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هذا ما أمكن تلخيصه من آراء، وقد رأينا أنّ معظمها يستند إلى شرطي الاستقلالوالإفادة.</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إنّ اختلاف النّحاة حول مفهوم الجملة أُضيف إليه اختلاف آخر تعلّق بتصنيف الجملة إلى أقسام،ومعظم النّحاة القدامى قسّموا الجملة إلى قسمين: الجملة الاسمية والجملة الفعلية،وهذا التّقسيم مبنيّ على العلاقة الإسنادية بين المسند والمسند إليه،وقد عرفها سيبويه بأنها « مالا يستغني أحدهما عن الآخر،ولا يجد المتكلم منه بدا» ثم مثّل لصور المسند والمسند إليه بمثالين يقصران هذه العلاقة على نوعين من الجمل هما الجملة الاسمية والجملة الفعلية، والمثالان هما : عبد الله أخوك هذا أخوك، ويذهب زيد</w:t>
      </w:r>
      <w:r w:rsidRPr="007C16BD">
        <w:rPr>
          <w:rFonts w:ascii="Traditional Arabic" w:eastAsia="Times New Roman" w:hAnsi="Traditional Arabic" w:cs="Traditional Arabic"/>
          <w:sz w:val="36"/>
          <w:szCs w:val="36"/>
          <w:vertAlign w:val="superscript"/>
          <w:lang w:val="en-US" w:eastAsia="fr-FR"/>
        </w:rPr>
        <w:endnoteReference w:customMarkFollows="1" w:id="57"/>
        <w:t>[70]</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lastRenderedPageBreak/>
        <w:t xml:space="preserve">   قد أشار الزمخشري إلى أنّ الجمل أربعة، مع إقراره بأن الجملة نوعان، وجاء حديثه عن أنواع الجمل عند ذكره لأنواع الخبر فقال الجملة على أربعة أضرب؛ فعلية واسمية وشرطية وظرفية </w:t>
      </w:r>
      <w:r w:rsidRPr="007C16BD">
        <w:rPr>
          <w:rFonts w:ascii="Traditional Arabic" w:eastAsia="Times New Roman" w:hAnsi="Traditional Arabic" w:cs="Traditional Arabic"/>
          <w:sz w:val="36"/>
          <w:szCs w:val="36"/>
          <w:vertAlign w:val="superscript"/>
          <w:lang w:val="en-US" w:eastAsia="fr-FR"/>
        </w:rPr>
        <w:endnoteReference w:customMarkFollows="1" w:id="58"/>
        <w:t>[71]</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من النّحاة من قسّم الجملة إلى ثلاثة أقسام هيالجملة الاسمية والجملة الفعليةوالجملة الظّرفية،وذهب إلى هذا التّقسيم ابن هشام في المغني ضمن باب عقده للجملة سماه شرح الجملة</w:t>
      </w:r>
      <w:r w:rsidRPr="007C16BD">
        <w:rPr>
          <w:rFonts w:ascii="Traditional Arabic" w:eastAsia="Times New Roman" w:hAnsi="Traditional Arabic" w:cs="Traditional Arabic"/>
          <w:sz w:val="36"/>
          <w:szCs w:val="36"/>
          <w:vertAlign w:val="superscript"/>
          <w:lang w:val="en-US" w:eastAsia="fr-FR"/>
        </w:rPr>
        <w:endnoteReference w:customMarkFollows="1" w:id="59"/>
        <w:t>[72]</w:t>
      </w:r>
      <w:r w:rsidRPr="007C16BD">
        <w:rPr>
          <w:rFonts w:ascii="Traditional Arabic" w:eastAsia="Times New Roman" w:hAnsi="Traditional Arabic" w:cs="Traditional Arabic"/>
          <w:sz w:val="36"/>
          <w:szCs w:val="36"/>
          <w:rtl/>
          <w:lang w:eastAsia="fr-FR"/>
        </w:rPr>
        <w:t> وتبعه في هذا التقسيم السيوطي</w:t>
      </w:r>
      <w:r w:rsidRPr="007C16BD">
        <w:rPr>
          <w:rFonts w:ascii="Traditional Arabic" w:eastAsia="Times New Roman" w:hAnsi="Traditional Arabic" w:cs="Traditional Arabic"/>
          <w:sz w:val="36"/>
          <w:szCs w:val="36"/>
          <w:vertAlign w:val="superscript"/>
          <w:lang w:val="en-US" w:eastAsia="fr-FR"/>
        </w:rPr>
        <w:endnoteReference w:customMarkFollows="1" w:id="60"/>
        <w:t>[73]</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ولقد قسّم ابن هشام الجملة إلى نوعين: كبرى وصغرى، وذلك من جهة أنّ جملا تتضمّن عملية إسنادية واحدة وأخرى تتضمن أكثر من عملية إسنادية.</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ويذهب إلى أبعد من ذلك حين قسّم الجملة الكبرى إلى قسمين: جملة ذات وجهين وجملة ذات وجه، وبيّن أنّ الجملة الكبرى ذات الوجهين هي اسمية الصّدر فعلية العجز نحو  " زيد يقوم أبوه " أو فعلية الصدر اسمية العجز نحو " ظننت زيدا أبوه قائم".</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وأمّا ذات الوجه فما كانت اسمية الصدر والعجز مثل " زيد أبوه قائم "أو فعلية الصدر والعجز مثل "ظننت زيدا يقوم أبوه "</w:t>
      </w:r>
      <w:r w:rsidRPr="007C16BD">
        <w:rPr>
          <w:rFonts w:ascii="Traditional Arabic" w:eastAsia="Times New Roman" w:hAnsi="Traditional Arabic" w:cs="Traditional Arabic"/>
          <w:sz w:val="36"/>
          <w:szCs w:val="36"/>
          <w:vertAlign w:val="superscript"/>
          <w:lang w:val="en-US" w:eastAsia="fr-FR"/>
        </w:rPr>
        <w:endnoteReference w:customMarkFollows="1" w:id="61"/>
        <w:t>[74]</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يفهم مما سبق أنّ الأساس الذي اعتمده النّحاة القدامى في تقسيم الجملة يعود إلى مبدأ الإسناد من ناحية، وإلى الأصل الذي بدأت منه الجملة من ناحية أخرى. تضمنت الجملة أكثر من إسناد، كان الإسناد المقصود لذاته هو الجملة الكبرى وما لم يكن كذلك فهو الجملة الصغرى.</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أمّا التّصنيفات التي قدّمها المحدثون من النّحاة العرب فلا تختلف عن تصنيفات القدماء إلاّ في التسميات، لأنّ المنطلقات واحدة؛ ولذا ذهب عبد اللّطيف حماسة إلى تقسيم الجملة ثلاثة أقسام:</w:t>
      </w:r>
      <w:r w:rsidRPr="007C16BD">
        <w:rPr>
          <w:rFonts w:ascii="Traditional Arabic" w:eastAsia="Times New Roman" w:hAnsi="Traditional Arabic" w:cs="Traditional Arabic"/>
          <w:color w:val="D99594"/>
          <w:sz w:val="36"/>
          <w:szCs w:val="36"/>
          <w:rtl/>
          <w:lang w:eastAsia="fr-FR"/>
        </w:rPr>
        <w:t xml:space="preserve">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 الجمل التامة : هي الجملة الإسنادية التي يكون فيها الإسناد مقصودا بالذّات، ويلزم فيها تضامّ عنصري الإسناد، ولا يحذف أحدهما إلا إذا علمه المستمع، كما قال ابن مالك:</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lastRenderedPageBreak/>
        <w:t> وحذفُ ما يُعلم جائزٌ كَمَا     تقول: "زيدٌ" بعد مَنْ عِندَكُمَا؟</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 الموجزة وهي التي يذكر فيها عنصر واحد من عناصر الإسناد، ويحذف الثاني حذفا واجبا أو غالبا ...و يمكن القول إجمالا إنّ كثيرا من الجمل التي حذف أحد طرفيها لدى النّحاة من هذا النوع مثل : نتكلم _ استقمن قال تعالى: ﴿</w:t>
      </w:r>
      <w:r w:rsidRPr="007C16BD">
        <w:rPr>
          <w:rFonts w:ascii="Traditional Arabic" w:eastAsia="Times New Roman" w:hAnsi="Traditional Arabic" w:cs="Traditional Arabic"/>
          <w:sz w:val="36"/>
          <w:szCs w:val="36"/>
          <w:lang w:val="en-US" w:eastAsia="fr-FR"/>
        </w:rPr>
        <w:t>  </w:t>
      </w:r>
      <w:r w:rsidRPr="007C16BD">
        <w:rPr>
          <w:rFonts w:ascii="Traditional Arabic" w:eastAsia="Times New Roman" w:hAnsi="Traditional Arabic" w:cs="Traditional Arabic"/>
          <w:sz w:val="36"/>
          <w:szCs w:val="36"/>
          <w:rtl/>
          <w:lang w:val="en-US" w:eastAsia="fr-FR"/>
        </w:rPr>
        <w:t>ولولا فضل الله عليكم لاتبعتم الشيطان إلا قليلا</w:t>
      </w:r>
      <w:r w:rsidRPr="007C16BD">
        <w:rPr>
          <w:rFonts w:ascii="Traditional Arabic" w:eastAsia="Times New Roman" w:hAnsi="Traditional Arabic" w:cs="Traditional Arabic"/>
          <w:sz w:val="36"/>
          <w:szCs w:val="36"/>
          <w:lang w:val="en-US" w:eastAsia="fr-FR"/>
        </w:rPr>
        <w:t xml:space="preserve"> </w:t>
      </w:r>
      <w:r w:rsidRPr="007C16BD">
        <w:rPr>
          <w:rFonts w:ascii="Traditional Arabic" w:eastAsia="Times New Roman" w:hAnsi="Traditional Arabic" w:cs="Traditional Arabic"/>
          <w:sz w:val="36"/>
          <w:szCs w:val="36"/>
          <w:rtl/>
          <w:lang w:eastAsia="fr-FR"/>
        </w:rPr>
        <w:t>       ﴾</w:t>
      </w:r>
      <w:r w:rsidRPr="007C16BD">
        <w:rPr>
          <w:rFonts w:ascii="Traditional Arabic" w:eastAsia="Times New Roman" w:hAnsi="Traditional Arabic" w:cs="Traditional Arabic"/>
          <w:sz w:val="36"/>
          <w:szCs w:val="36"/>
          <w:vertAlign w:val="superscript"/>
          <w:lang w:val="en-US" w:eastAsia="fr-FR"/>
        </w:rPr>
        <w:endnoteReference w:customMarkFollows="1" w:id="62"/>
        <w:t>[75]</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ونعم أو لا كإجابات موجزة فهي تمثّل تركيبا ذكر فيه عنصر واحد في سياق الإجابة عن سؤال، فتكون أحرف الجواب مفهومة ومفيد </w:t>
      </w:r>
      <w:r w:rsidRPr="007C16BD">
        <w:rPr>
          <w:rFonts w:ascii="Traditional Arabic" w:eastAsia="Times New Roman" w:hAnsi="Traditional Arabic" w:cs="Traditional Arabic"/>
          <w:sz w:val="36"/>
          <w:szCs w:val="36"/>
          <w:vertAlign w:val="superscript"/>
          <w:lang w:val="en-US" w:eastAsia="fr-FR"/>
        </w:rPr>
        <w:endnoteReference w:customMarkFollows="1" w:id="63"/>
        <w:t>[76]</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 غير الإسنادية : وهي ما يمكن عدّه جملا إفصاحية ، أيّ كانت في أوّل أمرها تعبيرا عن موقف انفعالي ما كالتعيير عن التعجب أو المدح أو الذم أو غير ذلك من المعاني ثم أخد التعبير عن هذه المعاني صورة تركيبية محفوظة، هذه العناصر تشمل على إحدى الخوالف، والخوالف كلمات تستعمل في أساليب إفصاحية ؛ ويجمعها في سبعة أنواع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1 - جملة الخالفة، مثل هيهات العقيق، أو عليكم أنفسكم.</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2 - الجملة التعجبية على صيغة ما أفعله أو أفعل به ؛ نحو ما أجمل السماء، أجمل بالسماء؛ ويقول الزمخشري عن الجملة التعجبية لا يتصرف فيها بتقديم ولا بتأخير ولا فصل إلا بأشياء محدودة، مما يؤكد أنها تركيب مسكوك كالأمثال.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3 - جملة المدح والذّم ، مثل نعم الرّجل زيدُ، أو نعم رجلا زيدُ. ونحو قوله تعالى:﴿وبئس الورد المورود   ﴾</w:t>
      </w:r>
      <w:r w:rsidRPr="007C16BD">
        <w:rPr>
          <w:rFonts w:ascii="Traditional Arabic" w:eastAsia="Times New Roman" w:hAnsi="Traditional Arabic" w:cs="Traditional Arabic"/>
          <w:sz w:val="36"/>
          <w:szCs w:val="36"/>
          <w:vertAlign w:val="superscript"/>
          <w:lang w:val="en-US" w:eastAsia="fr-FR"/>
        </w:rPr>
        <w:endnoteReference w:customMarkFollows="1" w:id="64"/>
        <w:t>[77]</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4 - جملة خالفة الصّوت، وهي أسماء الأصوات، ما وضع لخطاب ما لا يعقل أو ما هو في حكمه من صغار الآدميين من أجل الزّجر أو الدّعاء، أو لحكاية الأصوات، وهذه الأصوات لا ضمير فيها (بخلاف أسماء الأفعال) ويَعدّ ابن جني خالفة الأصوات جملة مفيدة مستقلة ومثّل لها بـ "حاء وعاء في الأصوات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lastRenderedPageBreak/>
        <w:t> 5 - الجملة الندائية، وما يدخل في حكم النداء كالاستغاثة والندبة.</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6 - الجملة القسمية، وتعد من الجمل غير الإسنادية لأن القَسَم جملة إنشائية إفصاحية ، لها صورها المسكوكة الخاصة.</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7 - الجملة الإغرائية والتحذيرية ، مثل إياك والشرّ؛أخاك أخاك</w:t>
      </w:r>
      <w:r w:rsidRPr="007C16BD">
        <w:rPr>
          <w:rFonts w:ascii="Traditional Arabic" w:eastAsia="Times New Roman" w:hAnsi="Traditional Arabic" w:cs="Traditional Arabic"/>
          <w:sz w:val="36"/>
          <w:szCs w:val="36"/>
          <w:vertAlign w:val="superscript"/>
          <w:lang w:val="en-US" w:eastAsia="fr-FR"/>
        </w:rPr>
        <w:endnoteReference w:customMarkFollows="1" w:id="65"/>
        <w:t>[78]</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يرى مهدي المخزومي أن الجملة ثلاثة أقسام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الفعلية، الجملة الاسمية، الجملة الظرفية</w:t>
      </w:r>
      <w:r w:rsidRPr="007C16BD">
        <w:rPr>
          <w:rFonts w:ascii="Traditional Arabic" w:eastAsia="Times New Roman" w:hAnsi="Traditional Arabic" w:cs="Traditional Arabic"/>
          <w:sz w:val="36"/>
          <w:szCs w:val="36"/>
          <w:vertAlign w:val="superscript"/>
          <w:lang w:val="en-US" w:eastAsia="fr-FR"/>
        </w:rPr>
        <w:endnoteReference w:customMarkFollows="1" w:id="66"/>
        <w:t>[79]</w:t>
      </w:r>
      <w:r w:rsidRPr="007C16BD">
        <w:rPr>
          <w:rFonts w:ascii="Traditional Arabic" w:eastAsia="Times New Roman" w:hAnsi="Traditional Arabic" w:cs="Traditional Arabic"/>
          <w:sz w:val="36"/>
          <w:szCs w:val="36"/>
          <w:rtl/>
          <w:lang w:eastAsia="fr-FR"/>
        </w:rPr>
        <w:t>؛ ومن الواضح أنّه يؤسّس تقسيمه للجملة على مبدأ الإسناد، مراعيا المسند، هل هو الفعل ،أم الاسم، أم الظرف أم المضاف إليه بالأداة ،فأيها كان المسند، تعين به الجملة.</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ولقد أعطى النّحاة المحدثون معايير مختلفة في تصنيف الجمل ونذكر منها ما ورد في كتاب نظام الجملة في شعر المعلقات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المعيار الأول : البساطة والتركيب، ويدخل فيه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البسيطة، وهي نوعان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مجردة، أو أساسية : وهي التي لا يضاف إلى ركني الإسناد فيها عنصر لغوي آخر.</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موسعة : وهي التي يضاف إلى ركنيها الأساسين عنصر أو أكثر يؤثر، في مضمونها أو يوسّع أحد عناصرها.</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المركبة : وتركيبها نوعان: تركيب إفراد، وتركيب تعدد، والأول بين جملتين اثنتين إحداهما مرتبطة بالأخرى أو متفرعة منها، والآخر بين أكثر من جملتين عن طريق الربط أوالتفريع أوهما معا</w:t>
      </w:r>
      <w:r w:rsidRPr="007C16BD">
        <w:rPr>
          <w:rFonts w:ascii="Traditional Arabic" w:eastAsia="Times New Roman" w:hAnsi="Traditional Arabic" w:cs="Traditional Arabic"/>
          <w:sz w:val="36"/>
          <w:szCs w:val="36"/>
          <w:vertAlign w:val="superscript"/>
          <w:lang w:val="en-US" w:eastAsia="fr-FR"/>
        </w:rPr>
        <w:endnoteReference w:customMarkFollows="1" w:id="67"/>
        <w:t>[80]</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المعيارالثاني : </w:t>
      </w:r>
      <w:r w:rsidRPr="007C16BD">
        <w:rPr>
          <w:rFonts w:ascii="Traditional Arabic" w:eastAsia="Times New Roman" w:hAnsi="Traditional Arabic" w:cs="Traditional Arabic"/>
          <w:sz w:val="36"/>
          <w:szCs w:val="36"/>
          <w:lang w:eastAsia="fr-FR"/>
        </w:rPr>
        <w:t> </w:t>
      </w:r>
      <w:r w:rsidRPr="007C16BD">
        <w:rPr>
          <w:rFonts w:ascii="Traditional Arabic" w:eastAsia="Times New Roman" w:hAnsi="Traditional Arabic" w:cs="Traditional Arabic"/>
          <w:sz w:val="36"/>
          <w:szCs w:val="36"/>
          <w:rtl/>
          <w:lang w:val="en-US" w:eastAsia="fr-FR"/>
        </w:rPr>
        <w:t>التمام</w:t>
      </w:r>
      <w:r w:rsidRPr="007C16BD">
        <w:rPr>
          <w:rFonts w:ascii="Traditional Arabic" w:eastAsia="Times New Roman" w:hAnsi="Traditional Arabic" w:cs="Traditional Arabic"/>
          <w:sz w:val="36"/>
          <w:szCs w:val="36"/>
          <w:rtl/>
          <w:lang w:eastAsia="fr-FR"/>
        </w:rPr>
        <w:t>النّحوي والنّقص ويشمل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lastRenderedPageBreak/>
        <w:t> الجملة التامة : وهي التي يذكر فيها ركنا الإسناد معا.</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الناقصة : وهي التي يحذف فيها أحد ركني الإسناد بقرينة، أو يستتر.</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والجملتان التّامة والنّاقصة قد تكون كل منهما بسيطة أو مركبة، والجملتان البسيطة والمركبة قد تكون كل منهما تامة أو ناقصة.</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المعيار الثالث : الاستقلال وعدم الاستقلال، ويدخل فيه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الأصلية : وهي التي تستقل بذاتها، وتستغني عن غيرها.</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الفرعية : وهي التي لا تقوم برأسها، بل تعتمد على غيرها.</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المعيار الرابع : التركيب الداخلي للجملة، ويشمل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الاسمية : وهي لا يكون المسند فيها فعلا ولا جملة.</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الفعلية : وهي التي يكون المسند فيها فعلا لا جملة.</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الوصفية : وهي التي يكون المسند فيها وصفا عاملا.</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الجملية : وهي التي يكون المسند فيها جملة اسمية أو فعلية أو وصفية مرتبطة بالمسند إليه برابط.</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المعيار الخامس :الترتيب وإعادة الترتيب ويشمل:</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ذات الترتيب المعتاد : وهي التي يتقدم المسند فيها الجملة الفعلية والوصفية، ويتقدم المسند إليه فيها الجملة الاسمية والجملية.</w:t>
      </w:r>
      <w:r w:rsidRPr="007C16BD">
        <w:rPr>
          <w:rFonts w:ascii="Traditional Arabic" w:eastAsia="Times New Roman" w:hAnsi="Traditional Arabic" w:cs="Traditional Arabic"/>
          <w:sz w:val="36"/>
          <w:szCs w:val="36"/>
          <w:vertAlign w:val="superscript"/>
          <w:lang w:val="en-US" w:eastAsia="fr-FR"/>
        </w:rPr>
        <w:endnoteReference w:customMarkFollows="1" w:id="68"/>
        <w:t>[81]</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التي أعيد ترتيبها : وهي الجملة التي قدم فيها بعض العناصر عن موقعه المعتاد أو الآخر.</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lastRenderedPageBreak/>
        <w:t> المعيار السّادس : الدّلالة العامّة للجملة، ويدخل فيه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الخبرية، وتشمل : الجملة المثبتة الجملة المنفية الجملة المؤكدة.</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الإنشائية وتشمل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الطلبية : أمر، نهي، استفهام، عرض، تحضيض.</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الانفعالية : تمن، ترج، قسم، تعجب، مدح أو ذم، ندبة أو استغاثة.</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المعيار السابع: نوع العلاقة بين الحدث والمحدث( في الجملة الفعلية خاصة)،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xml:space="preserve"> الجملة ذات المبني للمعلوم. </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ذات الفعل المبني للمجهول أو المطاوع الذي يقوم بوظيفته.</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المعيار الثامن : الأساس وما تحول عنه، ويشمل:</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الأساسية ( النووية) : ويشترط فيها أن تكون بسيطة، بسيطة ، تامة، خبرية، فعلها مبني للمعلوم( إن كانت فعلية)، مثبتة</w:t>
      </w:r>
      <w:r w:rsidRPr="007C16BD">
        <w:rPr>
          <w:rFonts w:ascii="Traditional Arabic" w:eastAsia="Times New Roman" w:hAnsi="Traditional Arabic" w:cs="Traditional Arabic"/>
          <w:sz w:val="36"/>
          <w:szCs w:val="36"/>
          <w:vertAlign w:val="superscript"/>
          <w:lang w:val="en-US" w:eastAsia="fr-FR"/>
        </w:rPr>
        <w:endnoteReference w:customMarkFollows="1" w:id="69"/>
        <w:t>[82]</w:t>
      </w:r>
      <w:r w:rsidRPr="007C16BD">
        <w:rPr>
          <w:rFonts w:ascii="Traditional Arabic" w:eastAsia="Times New Roman" w:hAnsi="Traditional Arabic" w:cs="Traditional Arabic"/>
          <w:sz w:val="36"/>
          <w:szCs w:val="36"/>
          <w:rtl/>
          <w:lang w:eastAsia="fr-FR"/>
        </w:rPr>
        <w:t>.</w:t>
      </w:r>
    </w:p>
    <w:p w:rsidR="007C16BD" w:rsidRPr="007C16BD" w:rsidRDefault="007C16BD" w:rsidP="007C16BD">
      <w:pPr>
        <w:bidi/>
        <w:spacing w:before="100" w:beforeAutospacing="1"/>
        <w:ind w:firstLine="503"/>
        <w:rPr>
          <w:rFonts w:ascii="Traditional Arabic" w:eastAsia="Times New Roman" w:hAnsi="Traditional Arabic" w:cs="Traditional Arabic"/>
          <w:sz w:val="36"/>
          <w:szCs w:val="36"/>
          <w:rtl/>
          <w:lang w:eastAsia="fr-FR"/>
        </w:rPr>
      </w:pPr>
      <w:r w:rsidRPr="007C16BD">
        <w:rPr>
          <w:rFonts w:ascii="Traditional Arabic" w:eastAsia="Times New Roman" w:hAnsi="Traditional Arabic" w:cs="Traditional Arabic"/>
          <w:sz w:val="36"/>
          <w:szCs w:val="36"/>
          <w:rtl/>
          <w:lang w:eastAsia="fr-FR"/>
        </w:rPr>
        <w:t> الجملة المحولة: وهي التي لا يتحقّق فيها شرط أو أكثر من الشروط السّابقة كأن تكون مركبة، أو ناقصة، أو إنشائية، أو فعلها مبني للمجهول، أو منفية.</w:t>
      </w:r>
    </w:p>
    <w:p w:rsidR="007C16BD" w:rsidRPr="007C16BD" w:rsidRDefault="007C16BD" w:rsidP="00C07072">
      <w:pPr>
        <w:bidi/>
        <w:spacing w:before="100" w:beforeAutospacing="1"/>
        <w:ind w:firstLine="503"/>
        <w:rPr>
          <w:rFonts w:ascii="Traditional Arabic" w:eastAsia="Times New Roman" w:hAnsi="Traditional Arabic" w:cs="Traditional Arabic"/>
          <w:sz w:val="36"/>
          <w:szCs w:val="36"/>
          <w:lang w:eastAsia="fr-FR"/>
        </w:rPr>
      </w:pPr>
      <w:r w:rsidRPr="007C16BD">
        <w:rPr>
          <w:rFonts w:ascii="Traditional Arabic" w:eastAsia="Times New Roman" w:hAnsi="Traditional Arabic" w:cs="Traditional Arabic"/>
          <w:sz w:val="36"/>
          <w:szCs w:val="36"/>
          <w:rtl/>
          <w:lang w:eastAsia="fr-FR"/>
        </w:rPr>
        <w:t> ونلاحظ في جانب آخر مصطلح التّركيب النّحوي (</w:t>
      </w:r>
      <w:r w:rsidRPr="007C16BD">
        <w:rPr>
          <w:rFonts w:ascii="Traditional Arabic" w:eastAsia="Times New Roman" w:hAnsi="Traditional Arabic" w:cs="Traditional Arabic"/>
          <w:sz w:val="36"/>
          <w:szCs w:val="36"/>
          <w:rtl/>
          <w:lang w:val="en-US" w:eastAsia="fr-FR"/>
        </w:rPr>
        <w:t>الجملة الفعلية</w:t>
      </w:r>
      <w:r w:rsidRPr="007C16BD">
        <w:rPr>
          <w:rFonts w:ascii="Traditional Arabic" w:eastAsia="Times New Roman" w:hAnsi="Traditional Arabic" w:cs="Traditional Arabic"/>
          <w:sz w:val="36"/>
          <w:szCs w:val="36"/>
          <w:rtl/>
          <w:lang w:eastAsia="fr-FR"/>
        </w:rPr>
        <w:t>) عند  مازن الوعر الذي يفضي مفهومه إلى أربعة أنواع، وذلك حسب التّصنيف اللّساني للنّحويين العرب القدامى، فمنه التركيب الاسمي، والتركيب الفعلي، والتركيب الشرطي، والتركيب الظرفي</w:t>
      </w:r>
      <w:r w:rsidRPr="007C16BD">
        <w:rPr>
          <w:rFonts w:ascii="Traditional Arabic" w:eastAsia="Times New Roman" w:hAnsi="Traditional Arabic" w:cs="Traditional Arabic"/>
          <w:sz w:val="36"/>
          <w:szCs w:val="36"/>
          <w:vertAlign w:val="superscript"/>
          <w:lang w:val="en-US" w:eastAsia="fr-FR"/>
        </w:rPr>
        <w:endnoteReference w:customMarkFollows="1" w:id="70"/>
        <w:t>[83]</w:t>
      </w:r>
      <w:r w:rsidRPr="007C16BD">
        <w:rPr>
          <w:rFonts w:ascii="Traditional Arabic" w:eastAsia="Times New Roman" w:hAnsi="Traditional Arabic" w:cs="Traditional Arabic"/>
          <w:sz w:val="36"/>
          <w:szCs w:val="36"/>
          <w:rtl/>
          <w:lang w:eastAsia="fr-FR"/>
        </w:rPr>
        <w:t xml:space="preserve">، والذي يهمُّنا هنا هو التّركيب الفعلي، ونعني به الجملة الفعلية؛ ولكنّه يضيف أن الرّكن التركيبي(م) يمكن أن يكون أشياء أخرى غير الفعل، إنّه يمكن أن يكون اسم فاعل وهو يتمتّع بالوظيفة نفسِها التي يتمتع بها الفعل، وهكذا فإنَّ أيَّ ركن تركيبي قادر على العمل على </w:t>
      </w:r>
    </w:p>
    <w:p w:rsidR="00167D30" w:rsidRPr="007C16BD" w:rsidRDefault="00167D30" w:rsidP="007C16BD">
      <w:pPr>
        <w:rPr>
          <w:rFonts w:ascii="Traditional Arabic" w:hAnsi="Traditional Arabic" w:cs="Traditional Arabic"/>
          <w:sz w:val="36"/>
          <w:szCs w:val="36"/>
        </w:rPr>
      </w:pPr>
    </w:p>
    <w:sectPr w:rsidR="00167D30" w:rsidRPr="007C16BD" w:rsidSect="00167D3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874" w:rsidRDefault="00A31874" w:rsidP="007C16BD">
      <w:r>
        <w:separator/>
      </w:r>
    </w:p>
  </w:endnote>
  <w:endnote w:type="continuationSeparator" w:id="1">
    <w:p w:rsidR="00A31874" w:rsidRDefault="00A31874" w:rsidP="007C16BD">
      <w:r>
        <w:continuationSeparator/>
      </w:r>
    </w:p>
  </w:endnote>
  <w:endnote w:id="2">
    <w:p w:rsidR="007C16BD" w:rsidRPr="00C07072" w:rsidRDefault="007C16BD" w:rsidP="007C16BD">
      <w:pPr>
        <w:pStyle w:val="Notedefin"/>
        <w:bidi/>
        <w:ind w:left="281" w:hanging="283"/>
        <w:contextualSpacing/>
        <w:jc w:val="both"/>
        <w:rPr>
          <w:rFonts w:ascii="Traditional Arabic" w:hAnsi="Traditional Arabic" w:cs="Traditional Arabic"/>
          <w:sz w:val="28"/>
          <w:szCs w:val="28"/>
        </w:rPr>
      </w:pPr>
      <w:r>
        <w:rPr>
          <w:sz w:val="18"/>
          <w:szCs w:val="18"/>
          <w:lang w:val="en-US"/>
        </w:rPr>
        <w:endnoteRef/>
      </w:r>
      <w:r>
        <w:rPr>
          <w:rFonts w:ascii="Calibri" w:eastAsia="Calibri" w:hAnsi="Calibri" w:cs="Arial"/>
          <w:sz w:val="18"/>
          <w:szCs w:val="18"/>
          <w:lang w:val="en-US" w:eastAsia="en-US"/>
        </w:rPr>
        <w:t>[1</w:t>
      </w:r>
      <w:r w:rsidRPr="00C07072">
        <w:rPr>
          <w:rFonts w:ascii="Traditional Arabic" w:eastAsia="Calibri" w:hAnsi="Traditional Arabic" w:cs="Traditional Arabic"/>
          <w:sz w:val="28"/>
          <w:szCs w:val="28"/>
          <w:lang w:val="en-US" w:eastAsia="en-US"/>
        </w:rPr>
        <w:t>]</w:t>
      </w:r>
      <w:r w:rsidRPr="00C07072">
        <w:rPr>
          <w:rFonts w:ascii="Traditional Arabic" w:hAnsi="Traditional Arabic" w:cs="Traditional Arabic"/>
          <w:sz w:val="28"/>
          <w:szCs w:val="28"/>
          <w:rtl/>
        </w:rPr>
        <w:t xml:space="preserve">- الجوهري، "الصحاح"، ت :أحمد عبد الغفور عطار، دار العلم للملايين، بيروت،لبنان، ط4، 1990م،1/139؛ وينظر الزبيدي، " تاج العروس من جواهر القاموس "، ت: علي شتيري ، دار الفكر للطباعة والنشر والتوزيع، </w:t>
      </w:r>
      <w:r w:rsidRPr="00C07072">
        <w:rPr>
          <w:rFonts w:ascii="Traditional Arabic" w:hAnsi="Traditional Arabic" w:cs="Traditional Arabic"/>
          <w:sz w:val="28"/>
          <w:szCs w:val="28"/>
        </w:rPr>
        <w:t xml:space="preserve"> </w:t>
      </w:r>
      <w:r w:rsidRPr="00C07072">
        <w:rPr>
          <w:rFonts w:ascii="Traditional Arabic" w:hAnsi="Traditional Arabic" w:cs="Traditional Arabic"/>
          <w:sz w:val="28"/>
          <w:szCs w:val="28"/>
          <w:rtl/>
        </w:rPr>
        <w:t>1994م، 2/36.</w:t>
      </w:r>
    </w:p>
  </w:endnote>
  <w:endnote w:id="3">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2" w:name="_edn2"/>
      <w:bookmarkEnd w:id="2"/>
      <w:r w:rsidRPr="00C07072">
        <w:rPr>
          <w:rFonts w:ascii="Traditional Arabic" w:hAnsi="Traditional Arabic" w:cs="Traditional Arabic"/>
          <w:sz w:val="28"/>
          <w:szCs w:val="28"/>
          <w:rtl/>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[2]</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  ابن منظور، "لسـان العــرب "، دار صادر للطباعة والنشر، بيروت، ط1، 1995م، مادة( ر ك ب).</w:t>
      </w:r>
    </w:p>
  </w:endnote>
  <w:endnote w:id="4">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3" w:name="_edn3"/>
      <w:bookmarkEnd w:id="3"/>
      <w:r w:rsidRPr="00C07072">
        <w:rPr>
          <w:rFonts w:ascii="Traditional Arabic" w:hAnsi="Traditional Arabic" w:cs="Traditional Arabic"/>
          <w:sz w:val="28"/>
          <w:szCs w:val="28"/>
          <w:rtl/>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[3]</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 نفسه مادة ( ر ك ب).</w:t>
      </w:r>
    </w:p>
  </w:endnote>
  <w:endnote w:id="5">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4" w:name="_edn4"/>
      <w:bookmarkEnd w:id="4"/>
      <w:r w:rsidRPr="00C07072">
        <w:rPr>
          <w:rFonts w:ascii="Traditional Arabic" w:hAnsi="Traditional Arabic" w:cs="Traditional Arabic"/>
          <w:sz w:val="28"/>
          <w:szCs w:val="28"/>
          <w:rtl/>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[4]</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 xml:space="preserve"> - المعجم الوسيط ،مجمع اللغة العربية، ت :</w:t>
      </w:r>
      <w:r w:rsidRPr="00C07072">
        <w:rPr>
          <w:rFonts w:ascii="Traditional Arabic" w:hAnsi="Traditional Arabic" w:cs="Traditional Arabic"/>
          <w:sz w:val="28"/>
          <w:szCs w:val="28"/>
          <w:rtl/>
          <w:lang w:val="en-US"/>
        </w:rPr>
        <w:t>عبد</w:t>
      </w:r>
      <w:r w:rsidRPr="00C07072">
        <w:rPr>
          <w:rFonts w:ascii="Traditional Arabic" w:hAnsi="Traditional Arabic" w:cs="Traditional Arabic"/>
          <w:sz w:val="28"/>
          <w:szCs w:val="28"/>
          <w:rtl/>
        </w:rPr>
        <w:t>الوهاب السيد عوض الله وآخرين، مطابع الأغست-شركة الإعلانات  الشرقية، 1985م، 1/381.</w:t>
      </w:r>
    </w:p>
  </w:endnote>
  <w:endnote w:id="6">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5" w:name="_edn5"/>
      <w:bookmarkEnd w:id="5"/>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[5]</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ماريو باي،" أسس علم اللغة" ، ترجمة :أحمد مختار عمر، عالم الكتب، بيروت، ط3، 1983، ص20.</w:t>
      </w:r>
    </w:p>
  </w:endnote>
  <w:endnote w:id="7">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[6]</w:t>
      </w:r>
      <w:r w:rsidRPr="00C07072">
        <w:rPr>
          <w:rFonts w:ascii="Traditional Arabic" w:hAnsi="Traditional Arabic" w:cs="Traditional Arabic"/>
          <w:sz w:val="28"/>
          <w:szCs w:val="28"/>
        </w:rPr>
        <w:t>George Mounin, Dictionnaire de linguistique, Quadrige, Paris, 4éme edition -</w:t>
      </w:r>
    </w:p>
  </w:endnote>
  <w:endnote w:id="8">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6" w:name="_edn7"/>
      <w:bookmarkEnd w:id="6"/>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[7]</w:t>
      </w:r>
      <w:r w:rsidRPr="00C07072">
        <w:rPr>
          <w:rFonts w:ascii="Traditional Arabic" w:hAnsi="Traditional Arabic" w:cs="Traditional Arabic"/>
          <w:sz w:val="28"/>
          <w:szCs w:val="28"/>
          <w:rtl/>
        </w:rPr>
        <w:t>إبراهيم السّامرائي،" فقه اللغة المقارن" ، دار العلم للملايين ، بيروت، ط4،1987م، ص46.</w:t>
      </w:r>
    </w:p>
  </w:endnote>
  <w:endnote w:id="9">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7" w:name="_edn8"/>
      <w:bookmarkEnd w:id="7"/>
      <w:r w:rsidRPr="00C07072">
        <w:rPr>
          <w:rFonts w:ascii="Traditional Arabic" w:hAnsi="Traditional Arabic" w:cs="Traditional Arabic"/>
          <w:sz w:val="28"/>
          <w:szCs w:val="28"/>
          <w:lang w:val="en-US"/>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[8]</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 xml:space="preserve"> عبد الله بن أحمد الفاكهي النحويّ المكي،" شرح كتاب الحدود في النحو"، تح : أحمد الدميري، مكتبة وهبة، القاهرة</w:t>
      </w:r>
    </w:p>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ط2، 1993م ص76.</w:t>
      </w:r>
    </w:p>
  </w:endnote>
  <w:endnote w:id="10">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[9]</w:t>
      </w:r>
      <w:r w:rsidRPr="00C07072">
        <w:rPr>
          <w:rFonts w:ascii="Traditional Arabic" w:hAnsi="Traditional Arabic" w:cs="Traditional Arabic"/>
          <w:sz w:val="28"/>
          <w:szCs w:val="28"/>
          <w:rtl/>
        </w:rPr>
        <w:t>- الجرجاني الحنفي- محمد بن علي الحسيني(816هـ) ؛ "التعريفات"، تحقيق : نصر الدِّين التونسي، دار القدس القاهرة، ط1، 2007م،ص98.</w:t>
      </w:r>
    </w:p>
  </w:endnote>
  <w:endnote w:id="11">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[10]</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 xml:space="preserve"> - محمود العالم المنزلى، " أنوار الربيع في الصرف والنحو والمعاني والبيان البديع "، مطبعة التقدم العلمية، مصر، ط1، 1322هـ ص59.</w:t>
      </w:r>
    </w:p>
  </w:endnote>
  <w:endnote w:id="12">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8" w:name="_edn11"/>
      <w:bookmarkStart w:id="9" w:name="_edn25"/>
      <w:bookmarkEnd w:id="8"/>
      <w:bookmarkEnd w:id="9"/>
      <w:r w:rsidRPr="00C07072">
        <w:rPr>
          <w:rFonts w:ascii="Traditional Arabic" w:hAnsi="Traditional Arabic" w:cs="Traditional Arabic"/>
          <w:sz w:val="28"/>
          <w:szCs w:val="28"/>
          <w:rtl/>
        </w:rPr>
        <w:t xml:space="preserve"> </w:t>
      </w:r>
      <w:r w:rsidRPr="00C07072">
        <w:rPr>
          <w:rFonts w:ascii="Traditional Arabic" w:hAnsi="Traditional Arabic" w:cs="Traditional Arabic"/>
          <w:sz w:val="28"/>
          <w:szCs w:val="28"/>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[25]</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محمود نحلة،" نظام الجملة في شعر المعلقات "، دار المعرفة الجامعية، الاسكندرية،د.ط،1991م. ص12.</w:t>
      </w:r>
    </w:p>
  </w:endnote>
  <w:endnote w:id="13">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[26]</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 الخصائص 1/17.</w:t>
      </w:r>
    </w:p>
  </w:endnote>
  <w:endnote w:id="14">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10" w:name="_edn27"/>
      <w:bookmarkEnd w:id="10"/>
      <w:r w:rsidRPr="00C07072">
        <w:rPr>
          <w:rFonts w:ascii="Traditional Arabic" w:hAnsi="Traditional Arabic" w:cs="Traditional Arabic"/>
          <w:sz w:val="28"/>
          <w:szCs w:val="28"/>
          <w:lang w:val="en-US"/>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[27]</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 xml:space="preserve"> ابن يعيش؛ "شرح المفصل"، 1/18.</w:t>
      </w:r>
    </w:p>
  </w:endnote>
  <w:endnote w:id="15">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11" w:name="_edn28"/>
      <w:bookmarkEnd w:id="11"/>
      <w:r w:rsidRPr="00C07072">
        <w:rPr>
          <w:rFonts w:ascii="Traditional Arabic" w:hAnsi="Traditional Arabic" w:cs="Traditional Arabic"/>
          <w:sz w:val="28"/>
          <w:szCs w:val="28"/>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[28]</w:t>
      </w:r>
      <w:r w:rsidRPr="00C07072">
        <w:rPr>
          <w:rFonts w:ascii="Traditional Arabic" w:hAnsi="Traditional Arabic" w:cs="Traditional Arabic"/>
          <w:sz w:val="28"/>
          <w:szCs w:val="28"/>
        </w:rPr>
        <w:t xml:space="preserve">  </w:t>
      </w:r>
      <w:r w:rsidRPr="00C07072">
        <w:rPr>
          <w:rFonts w:ascii="Traditional Arabic" w:hAnsi="Traditional Arabic" w:cs="Traditional Arabic"/>
          <w:sz w:val="28"/>
          <w:szCs w:val="28"/>
          <w:rtl/>
        </w:rPr>
        <w:t xml:space="preserve"> الخصائص؛ 1/18.</w:t>
      </w:r>
    </w:p>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rtl/>
        </w:rPr>
        <w:t>* أردت أن أتقيد بالمصطلحات الثلاث وأتناولها بالشرح وأعرض أقوال العلماء فيها غير أني وفي خضم البحث واجهت بعض المصطلحات ، لم أرد أن أمر عليها دون الإشارة إليها، فالكلمة هي اللفظ الموضوع لمعنى مفرد؛ واللفظ هو</w:t>
      </w:r>
      <w:r w:rsidRPr="00C07072">
        <w:rPr>
          <w:rFonts w:ascii="Traditional Arabic" w:hAnsi="Traditional Arabic" w:cs="Traditional Arabic"/>
          <w:sz w:val="28"/>
          <w:szCs w:val="28"/>
          <w:rtl/>
          <w:lang w:val="en-US"/>
        </w:rPr>
        <w:t>الصوت</w:t>
      </w:r>
      <w:r w:rsidRPr="00C07072">
        <w:rPr>
          <w:rFonts w:ascii="Traditional Arabic" w:hAnsi="Traditional Arabic" w:cs="Traditional Arabic"/>
          <w:sz w:val="28"/>
          <w:szCs w:val="28"/>
          <w:rtl/>
        </w:rPr>
        <w:t xml:space="preserve"> المشتمل على بعض الحروف سواء دل على معنى أو لم يدل، ينظر</w:t>
      </w:r>
      <w:r w:rsidRPr="00C07072">
        <w:rPr>
          <w:rFonts w:ascii="Traditional Arabic" w:hAnsi="Traditional Arabic" w:cs="Traditional Arabic"/>
          <w:sz w:val="28"/>
          <w:szCs w:val="28"/>
          <w:lang w:val="en-US"/>
        </w:rPr>
        <w:t>:</w:t>
      </w:r>
      <w:r w:rsidRPr="00C07072">
        <w:rPr>
          <w:rFonts w:ascii="Traditional Arabic" w:hAnsi="Traditional Arabic" w:cs="Traditional Arabic"/>
          <w:sz w:val="28"/>
          <w:szCs w:val="28"/>
          <w:rtl/>
        </w:rPr>
        <w:t xml:space="preserve"> شرح ابن عقيل" 1/14-15-17؛ الكَلِم هو اسم وفعل وحرف جاء لمعنى ليس باسم ولا فعل ، ينظر</w:t>
      </w:r>
      <w:r w:rsidRPr="00C07072">
        <w:rPr>
          <w:rFonts w:ascii="Traditional Arabic" w:hAnsi="Traditional Arabic" w:cs="Traditional Arabic"/>
          <w:sz w:val="28"/>
          <w:szCs w:val="28"/>
          <w:lang w:val="en-US"/>
        </w:rPr>
        <w:t>:</w:t>
      </w:r>
      <w:r w:rsidRPr="00C07072">
        <w:rPr>
          <w:rFonts w:ascii="Traditional Arabic" w:hAnsi="Traditional Arabic" w:cs="Traditional Arabic"/>
          <w:sz w:val="28"/>
          <w:szCs w:val="28"/>
          <w:rtl/>
        </w:rPr>
        <w:t xml:space="preserve"> سيبويه"  1/2 . </w:t>
      </w:r>
    </w:p>
  </w:endnote>
  <w:endnote w:id="16">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12" w:name="_edn29"/>
      <w:bookmarkEnd w:id="12"/>
      <w:r w:rsidRPr="00C07072">
        <w:rPr>
          <w:rFonts w:ascii="Traditional Arabic" w:hAnsi="Traditional Arabic" w:cs="Traditional Arabic"/>
          <w:sz w:val="28"/>
          <w:szCs w:val="28"/>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[29]</w:t>
      </w:r>
      <w:r w:rsidRPr="00C07072">
        <w:rPr>
          <w:rFonts w:ascii="Traditional Arabic" w:hAnsi="Traditional Arabic" w:cs="Traditional Arabic"/>
          <w:sz w:val="28"/>
          <w:szCs w:val="28"/>
          <w:rtl/>
        </w:rPr>
        <w:t xml:space="preserve"> محمد غيتري؛"التركيب الفعلي العربي-دراسة لسانية،حاسوبية"،أطروحة  دكتوراه، تلمسان 1998م،ص42.</w:t>
      </w:r>
    </w:p>
  </w:endnote>
  <w:endnote w:id="17">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13" w:name="_edn30"/>
      <w:bookmarkEnd w:id="13"/>
      <w:r w:rsidRPr="00C07072">
        <w:rPr>
          <w:rFonts w:ascii="Traditional Arabic" w:hAnsi="Traditional Arabic" w:cs="Traditional Arabic"/>
          <w:sz w:val="28"/>
          <w:szCs w:val="28"/>
          <w:lang w:val="en-US"/>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[30]</w:t>
      </w:r>
      <w:r w:rsidRPr="00C07072">
        <w:rPr>
          <w:rFonts w:ascii="Traditional Arabic" w:hAnsi="Traditional Arabic" w:cs="Traditional Arabic"/>
          <w:sz w:val="28"/>
          <w:szCs w:val="28"/>
          <w:rtl/>
        </w:rPr>
        <w:t xml:space="preserve"> النور : 45</w:t>
      </w:r>
    </w:p>
  </w:endnote>
  <w:endnote w:id="18">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[31]</w:t>
      </w:r>
      <w:r w:rsidRPr="00C07072">
        <w:rPr>
          <w:rFonts w:ascii="Traditional Arabic" w:hAnsi="Traditional Arabic" w:cs="Traditional Arabic"/>
          <w:sz w:val="28"/>
          <w:szCs w:val="28"/>
          <w:rtl/>
        </w:rPr>
        <w:t>- الأنعام : 102</w:t>
      </w:r>
    </w:p>
  </w:endnote>
  <w:endnote w:id="19">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14" w:name="_edn32"/>
      <w:bookmarkEnd w:id="14"/>
      <w:r w:rsidRPr="00C07072">
        <w:rPr>
          <w:rFonts w:ascii="Traditional Arabic" w:hAnsi="Traditional Arabic" w:cs="Traditional Arabic"/>
          <w:sz w:val="28"/>
          <w:szCs w:val="28"/>
        </w:rPr>
        <w:t xml:space="preserve"> -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[32]</w:t>
      </w:r>
      <w:r w:rsidRPr="00C07072">
        <w:rPr>
          <w:rFonts w:ascii="Traditional Arabic" w:hAnsi="Traditional Arabic" w:cs="Traditional Arabic"/>
          <w:sz w:val="28"/>
          <w:szCs w:val="28"/>
          <w:rtl/>
        </w:rPr>
        <w:t xml:space="preserve"> ابن فارس- أحمد بن زكريا بن حبيب الرازي - ؛ " الصاحبي في فقه اللغة "، تحقيق : مصطفى لبشويمي، مؤسسة أيدران للطباعة والنشر، بيروت،1963م، ص160.</w:t>
      </w:r>
    </w:p>
  </w:endnote>
  <w:endnote w:id="20">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[33]</w:t>
      </w:r>
      <w:r w:rsidRPr="00C07072">
        <w:rPr>
          <w:rFonts w:ascii="Traditional Arabic" w:hAnsi="Traditional Arabic" w:cs="Traditional Arabic"/>
          <w:sz w:val="28"/>
          <w:szCs w:val="28"/>
          <w:rtl/>
        </w:rPr>
        <w:t>- نفسه، ص 159.</w:t>
      </w:r>
    </w:p>
  </w:endnote>
  <w:endnote w:id="21">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[34]</w:t>
      </w:r>
      <w:r w:rsidRPr="00C07072">
        <w:rPr>
          <w:rFonts w:ascii="Traditional Arabic" w:hAnsi="Traditional Arabic" w:cs="Traditional Arabic"/>
          <w:sz w:val="28"/>
          <w:szCs w:val="28"/>
          <w:rtl/>
        </w:rPr>
        <w:t>-محمد حماس عبد اللطيف، "العلامة الإعرابية في الجملة بين القديم والحديث "، دار الفكر العربي ،القاهرة، د.ط،د.ت،ص95ص20.</w:t>
      </w:r>
    </w:p>
  </w:endnote>
  <w:endnote w:id="22">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15" w:name="_edn35"/>
      <w:bookmarkEnd w:id="15"/>
      <w:r w:rsidRPr="00C07072">
        <w:rPr>
          <w:rFonts w:ascii="Traditional Arabic" w:hAnsi="Traditional Arabic" w:cs="Traditional Arabic"/>
          <w:sz w:val="28"/>
          <w:szCs w:val="28"/>
        </w:rPr>
        <w:t>-</w:t>
      </w: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[35]</w:t>
      </w:r>
      <w:r w:rsidRPr="00C07072">
        <w:rPr>
          <w:rFonts w:ascii="Traditional Arabic" w:hAnsi="Traditional Arabic" w:cs="Traditional Arabic"/>
          <w:sz w:val="28"/>
          <w:szCs w:val="28"/>
          <w:rtl/>
        </w:rPr>
        <w:t xml:space="preserve"> الجرجاني-عبد القاهر- ؛" الجمل" تحقيق : علي حيدر، دمشق ،1972م،ص40.</w:t>
      </w:r>
    </w:p>
  </w:endnote>
  <w:endnote w:id="23">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[36]</w:t>
      </w:r>
      <w:r w:rsidRPr="00C07072">
        <w:rPr>
          <w:rFonts w:ascii="Traditional Arabic" w:hAnsi="Traditional Arabic" w:cs="Traditional Arabic"/>
          <w:sz w:val="28"/>
          <w:szCs w:val="28"/>
          <w:rtl/>
        </w:rPr>
        <w:t>- محمد حماسة عبد اللطيف،" بناء الجملة العربية "، دار غريب للطباعة والنشر، القاهرة، د.ط،2003م ص21 .يذكر حماسة " تبين لي أن الأستاذ عبد السلام هارون قد وضع في فهارس الكتاب :5/297 تحت مسائل النحو  والصرف عنوانا جانبيا (الجمل) وهذا باعتبار ما يؤدي إليه معنى كلام سيبويه لا لفظه ".</w:t>
      </w:r>
    </w:p>
  </w:endnote>
  <w:endnote w:id="24">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[37]</w:t>
      </w:r>
      <w:r w:rsidRPr="00C07072">
        <w:rPr>
          <w:rFonts w:ascii="Traditional Arabic" w:hAnsi="Traditional Arabic" w:cs="Traditional Arabic"/>
          <w:sz w:val="28"/>
          <w:szCs w:val="28"/>
          <w:rtl/>
        </w:rPr>
        <w:t>- ابن جني؛ "الخصائص"، 1/18-19.</w:t>
      </w:r>
    </w:p>
  </w:endnote>
  <w:endnote w:id="25">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[38]</w:t>
      </w:r>
      <w:r w:rsidRPr="00C07072">
        <w:rPr>
          <w:rFonts w:ascii="Traditional Arabic" w:hAnsi="Traditional Arabic" w:cs="Traditional Arabic"/>
          <w:sz w:val="28"/>
          <w:szCs w:val="28"/>
          <w:rtl/>
        </w:rPr>
        <w:t>- أبو البقاء العكبري؛" مسائل خلافية في النحو"، تحقيق : محمد خير الحلواني، دار الشروق العربي،بيروت ، ط1 1992م،1/35.</w:t>
      </w:r>
    </w:p>
  </w:endnote>
  <w:endnote w:id="26">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16" w:name="_edn39"/>
      <w:bookmarkEnd w:id="16"/>
      <w:r w:rsidRPr="00C07072">
        <w:rPr>
          <w:rFonts w:ascii="Traditional Arabic" w:hAnsi="Traditional Arabic" w:cs="Traditional Arabic"/>
          <w:sz w:val="28"/>
          <w:szCs w:val="28"/>
        </w:rPr>
        <w:t>-</w:t>
      </w: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[39]</w:t>
      </w:r>
      <w:r w:rsidRPr="00C07072">
        <w:rPr>
          <w:rFonts w:ascii="Traditional Arabic" w:hAnsi="Traditional Arabic" w:cs="Traditional Arabic"/>
          <w:sz w:val="28"/>
          <w:szCs w:val="28"/>
          <w:rtl/>
        </w:rPr>
        <w:t xml:space="preserve"> الرازي  التفسير الكبير 1/17.</w:t>
      </w:r>
    </w:p>
  </w:endnote>
  <w:endnote w:id="27">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17" w:name="_edn40"/>
      <w:bookmarkEnd w:id="17"/>
      <w:r w:rsidRPr="00C07072">
        <w:rPr>
          <w:rFonts w:ascii="Traditional Arabic" w:hAnsi="Traditional Arabic" w:cs="Traditional Arabic"/>
          <w:sz w:val="28"/>
          <w:szCs w:val="28"/>
        </w:rPr>
        <w:t>-</w:t>
      </w: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[40]</w:t>
      </w:r>
      <w:r w:rsidRPr="00C07072">
        <w:rPr>
          <w:rFonts w:ascii="Traditional Arabic" w:hAnsi="Traditional Arabic" w:cs="Traditional Arabic"/>
          <w:sz w:val="28"/>
          <w:szCs w:val="28"/>
          <w:rtl/>
        </w:rPr>
        <w:t xml:space="preserve"> نوار عبيدي ؛" التركيب في المثل العربي القديم دراسة نحوية للجملة الاسمية"، ط1 2005م، ص32-33.</w:t>
      </w:r>
    </w:p>
  </w:endnote>
  <w:endnote w:id="28">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18" w:name="_edn41"/>
      <w:bookmarkEnd w:id="18"/>
      <w:r w:rsidRPr="00C07072">
        <w:rPr>
          <w:rFonts w:ascii="Traditional Arabic" w:hAnsi="Traditional Arabic" w:cs="Traditional Arabic"/>
          <w:sz w:val="28"/>
          <w:szCs w:val="28"/>
        </w:rPr>
        <w:t>-</w:t>
      </w: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[41]</w:t>
      </w:r>
      <w:r w:rsidRPr="00C07072">
        <w:rPr>
          <w:rFonts w:ascii="Traditional Arabic" w:hAnsi="Traditional Arabic" w:cs="Traditional Arabic"/>
          <w:sz w:val="28"/>
          <w:szCs w:val="28"/>
          <w:rtl/>
        </w:rPr>
        <w:t xml:space="preserve"> المبرد – أبي العباس محمد بن يزيد-؛ " المقتضب" ،تحقيق عبد الخالق عضيمة، القاهرة،1/8</w:t>
      </w:r>
    </w:p>
  </w:endnote>
  <w:endnote w:id="29">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19" w:name="_edn42"/>
      <w:bookmarkEnd w:id="19"/>
      <w:r w:rsidRPr="00C07072">
        <w:rPr>
          <w:rFonts w:ascii="Traditional Arabic" w:hAnsi="Traditional Arabic" w:cs="Traditional Arabic"/>
          <w:sz w:val="28"/>
          <w:szCs w:val="28"/>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[42]</w:t>
      </w:r>
      <w:r w:rsidRPr="00C07072">
        <w:rPr>
          <w:rFonts w:ascii="Traditional Arabic" w:hAnsi="Traditional Arabic" w:cs="Traditional Arabic"/>
          <w:sz w:val="28"/>
          <w:szCs w:val="28"/>
          <w:rtl/>
        </w:rPr>
        <w:t xml:space="preserve"> تمام حسان ؛" اللغة بين المعيارية والوصفية"،ص159.</w:t>
      </w:r>
    </w:p>
  </w:endnote>
  <w:endnote w:id="30">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20" w:name="_edn43"/>
      <w:bookmarkEnd w:id="20"/>
      <w:r w:rsidRPr="00C07072">
        <w:rPr>
          <w:rFonts w:ascii="Traditional Arabic" w:hAnsi="Traditional Arabic" w:cs="Traditional Arabic"/>
          <w:sz w:val="28"/>
          <w:szCs w:val="28"/>
          <w:lang w:val="en-US"/>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[43]</w:t>
      </w:r>
      <w:r w:rsidRPr="00C07072">
        <w:rPr>
          <w:rFonts w:ascii="Traditional Arabic" w:hAnsi="Traditional Arabic" w:cs="Traditional Arabic"/>
          <w:sz w:val="28"/>
          <w:szCs w:val="28"/>
          <w:rtl/>
        </w:rPr>
        <w:t xml:space="preserve"> الأستربادي-رضي الدين- ؛ "شرح كافية ابن الحاجب"، دار الكتب العلمية، بيروت،د.ط،1995م، ص8.</w:t>
      </w:r>
    </w:p>
  </w:endnote>
  <w:endnote w:id="31">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[44]</w:t>
      </w:r>
      <w:r w:rsidRPr="00C07072">
        <w:rPr>
          <w:rFonts w:ascii="Traditional Arabic" w:hAnsi="Traditional Arabic" w:cs="Traditional Arabic"/>
          <w:sz w:val="28"/>
          <w:szCs w:val="28"/>
          <w:rtl/>
        </w:rPr>
        <w:t>- ابن هشام ؛ " المغني اللبيب عن كتب الأعاريب"  2/5.</w:t>
      </w:r>
    </w:p>
  </w:endnote>
  <w:endnote w:id="32">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[45]</w:t>
      </w:r>
      <w:r w:rsidRPr="00C07072">
        <w:rPr>
          <w:rFonts w:ascii="Traditional Arabic" w:hAnsi="Traditional Arabic" w:cs="Traditional Arabic"/>
          <w:sz w:val="28"/>
          <w:szCs w:val="28"/>
          <w:rtl/>
        </w:rPr>
        <w:t>-  نفسه.</w:t>
      </w:r>
    </w:p>
  </w:endnote>
  <w:endnote w:id="33">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21" w:name="_edn46"/>
      <w:bookmarkEnd w:id="21"/>
      <w:r w:rsidRPr="00C07072">
        <w:rPr>
          <w:rFonts w:ascii="Traditional Arabic" w:hAnsi="Traditional Arabic" w:cs="Traditional Arabic"/>
          <w:sz w:val="28"/>
          <w:szCs w:val="28"/>
          <w:lang w:val="en-US"/>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[46]</w:t>
      </w:r>
      <w:r w:rsidRPr="00C07072">
        <w:rPr>
          <w:rFonts w:ascii="Traditional Arabic" w:hAnsi="Traditional Arabic" w:cs="Traditional Arabic"/>
          <w:sz w:val="28"/>
          <w:szCs w:val="28"/>
          <w:rtl/>
        </w:rPr>
        <w:t xml:space="preserve"> السيوطي- جلال الدين- ؛ " همع الهوامع في شرح جمع الجوامع"، تحقيق : أحمد شمس الدين، دار الكتب العلمية، بيروت،لبنان، ط1،  1998م، 1/49-50.</w:t>
      </w:r>
    </w:p>
  </w:endnote>
  <w:endnote w:id="34">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22" w:name="_edn47"/>
      <w:bookmarkEnd w:id="22"/>
      <w:r w:rsidRPr="00C07072">
        <w:rPr>
          <w:rFonts w:ascii="Traditional Arabic" w:hAnsi="Traditional Arabic" w:cs="Traditional Arabic"/>
          <w:sz w:val="28"/>
          <w:szCs w:val="28"/>
          <w:lang w:val="en-US"/>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[47]</w:t>
      </w:r>
      <w:r w:rsidRPr="00C07072">
        <w:rPr>
          <w:rFonts w:ascii="Traditional Arabic" w:hAnsi="Traditional Arabic" w:cs="Traditional Arabic"/>
          <w:sz w:val="28"/>
          <w:szCs w:val="28"/>
          <w:rtl/>
        </w:rPr>
        <w:t xml:space="preserve"> موسى بن مصطفى العبيدان؛" دلالة تراكيب الجمل عند الأصوليين" ، ص45.</w:t>
      </w:r>
    </w:p>
  </w:endnote>
  <w:endnote w:id="35">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23" w:name="_edn48"/>
      <w:bookmarkEnd w:id="23"/>
      <w:r w:rsidRPr="00C07072">
        <w:rPr>
          <w:rFonts w:ascii="Traditional Arabic" w:hAnsi="Traditional Arabic" w:cs="Traditional Arabic"/>
          <w:sz w:val="28"/>
          <w:szCs w:val="28"/>
          <w:lang w:val="en-US"/>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[48]</w:t>
      </w:r>
      <w:r w:rsidRPr="00C07072">
        <w:rPr>
          <w:rFonts w:ascii="Traditional Arabic" w:hAnsi="Traditional Arabic" w:cs="Traditional Arabic"/>
          <w:sz w:val="28"/>
          <w:szCs w:val="28"/>
          <w:rtl/>
        </w:rPr>
        <w:t xml:space="preserve"> محمد حميدة ؛"نظام الارتباط والربط" ،الشركة المصرية العالمية للنشر ،ط1،1997م، ص3.</w:t>
      </w:r>
    </w:p>
  </w:endnote>
  <w:endnote w:id="36">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24" w:name="_edn49"/>
      <w:bookmarkEnd w:id="24"/>
      <w:r w:rsidRPr="00C07072">
        <w:rPr>
          <w:rFonts w:ascii="Traditional Arabic" w:hAnsi="Traditional Arabic" w:cs="Traditional Arabic"/>
          <w:sz w:val="28"/>
          <w:szCs w:val="28"/>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[49]</w:t>
      </w:r>
      <w:r w:rsidRPr="00C07072">
        <w:rPr>
          <w:rFonts w:ascii="Traditional Arabic" w:hAnsi="Traditional Arabic" w:cs="Traditional Arabic"/>
          <w:sz w:val="28"/>
          <w:szCs w:val="28"/>
          <w:rtl/>
        </w:rPr>
        <w:t xml:space="preserve"> محمد حماسة عبد اللطيف ؛" العلامة الإعرابية"، ص23.</w:t>
      </w:r>
    </w:p>
  </w:endnote>
  <w:endnote w:id="37">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[50]</w:t>
      </w:r>
      <w:r w:rsidRPr="00C07072">
        <w:rPr>
          <w:rFonts w:ascii="Traditional Arabic" w:hAnsi="Traditional Arabic" w:cs="Traditional Arabic"/>
          <w:sz w:val="28"/>
          <w:szCs w:val="28"/>
          <w:rtl/>
        </w:rPr>
        <w:t xml:space="preserve"> نفسه،ص40.</w:t>
      </w:r>
    </w:p>
  </w:endnote>
  <w:endnote w:id="38">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[51]</w:t>
      </w:r>
      <w:r w:rsidRPr="00C07072">
        <w:rPr>
          <w:rFonts w:ascii="Traditional Arabic" w:hAnsi="Traditional Arabic" w:cs="Traditional Arabic"/>
          <w:sz w:val="28"/>
          <w:szCs w:val="28"/>
          <w:rtl/>
        </w:rPr>
        <w:t>- إبراهيم مصطفى؛" إحياء النحو"، مطبعة لجنة التأليف والنشر ، القاهرة ،ط2، 1992م،ص2.</w:t>
      </w:r>
    </w:p>
  </w:endnote>
  <w:endnote w:id="39">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25" w:name="_edn52"/>
      <w:bookmarkEnd w:id="25"/>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[52]</w:t>
      </w:r>
      <w:r w:rsidRPr="00C07072">
        <w:rPr>
          <w:rFonts w:ascii="Traditional Arabic" w:hAnsi="Traditional Arabic" w:cs="Traditional Arabic"/>
          <w:sz w:val="28"/>
          <w:szCs w:val="28"/>
          <w:rtl/>
        </w:rPr>
        <w:t>تمام حسان، " اللغة العربية معناها ومبناها"، دار الثقافة ، الدار البيضاء، د.ط، 2001م، ص 194.</w:t>
      </w:r>
    </w:p>
  </w:endnote>
  <w:endnote w:id="40">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26" w:name="_edn53"/>
      <w:bookmarkEnd w:id="26"/>
      <w:r w:rsidRPr="00C07072">
        <w:rPr>
          <w:rFonts w:ascii="Traditional Arabic" w:hAnsi="Traditional Arabic" w:cs="Traditional Arabic"/>
          <w:sz w:val="28"/>
          <w:szCs w:val="28"/>
          <w:rtl/>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[53]</w:t>
      </w:r>
      <w:r w:rsidRPr="00C07072">
        <w:rPr>
          <w:rFonts w:ascii="Traditional Arabic" w:hAnsi="Traditional Arabic" w:cs="Traditional Arabic"/>
          <w:sz w:val="28"/>
          <w:szCs w:val="28"/>
          <w:rtl/>
        </w:rPr>
        <w:t>-عبد السلام المسدي، "اللسانيات وأسسها المعرفية "، الدار التونسية للنشر، تونس، والمؤسسة الوطنية للكتاب. الجزائر، 1986م ص6.</w:t>
      </w:r>
    </w:p>
  </w:endnote>
  <w:endnote w:id="41">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[54]</w:t>
      </w:r>
      <w:r w:rsidRPr="00C07072">
        <w:rPr>
          <w:rFonts w:ascii="Traditional Arabic" w:hAnsi="Traditional Arabic" w:cs="Traditional Arabic"/>
          <w:sz w:val="28"/>
          <w:szCs w:val="28"/>
          <w:rtl/>
        </w:rPr>
        <w:t>- إبراهيم أنيس، " من أسرار اللغة" ، مكتبة الأنجلو مصرية، القاهرة ، ط2 ، 1978م ص276-277.</w:t>
      </w:r>
    </w:p>
  </w:endnote>
  <w:endnote w:id="42">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27" w:name="_edn55"/>
      <w:bookmarkEnd w:id="27"/>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[55]</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مهدي المخزومي ،" في النّحو العربي نقد وتوجيه "، دار الرائد العربي ،بيروت،لبنان، ط2، 1987م ص31.</w:t>
      </w:r>
    </w:p>
  </w:endnote>
  <w:endnote w:id="43">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28" w:name="_edn56"/>
      <w:bookmarkEnd w:id="28"/>
      <w:r w:rsidRPr="00C07072">
        <w:rPr>
          <w:rFonts w:ascii="Traditional Arabic" w:hAnsi="Traditional Arabic" w:cs="Traditional Arabic"/>
          <w:sz w:val="28"/>
          <w:szCs w:val="28"/>
          <w:rtl/>
        </w:rPr>
        <w:t xml:space="preserve"> </w:t>
      </w:r>
      <w:r w:rsidRPr="00C07072">
        <w:rPr>
          <w:rFonts w:ascii="Traditional Arabic" w:hAnsi="Traditional Arabic" w:cs="Traditional Arabic"/>
          <w:sz w:val="28"/>
          <w:szCs w:val="28"/>
          <w:lang w:val="en-US"/>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[56]</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 xml:space="preserve"> مهدي المخزومي ،" في النحو العربي نقد وتوجيه "، ص31.</w:t>
      </w:r>
    </w:p>
  </w:endnote>
  <w:endnote w:id="44">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29" w:name="_edn57"/>
      <w:bookmarkEnd w:id="29"/>
      <w:r w:rsidRPr="00C07072">
        <w:rPr>
          <w:rFonts w:ascii="Traditional Arabic" w:hAnsi="Traditional Arabic" w:cs="Traditional Arabic"/>
          <w:sz w:val="28"/>
          <w:szCs w:val="28"/>
          <w:rtl/>
        </w:rPr>
        <w:t xml:space="preserve"> </w:t>
      </w:r>
      <w:r w:rsidRPr="00C07072">
        <w:rPr>
          <w:rFonts w:ascii="Traditional Arabic" w:hAnsi="Traditional Arabic" w:cs="Traditional Arabic"/>
          <w:sz w:val="28"/>
          <w:szCs w:val="28"/>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[57]</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 xml:space="preserve"> عباس حسن، " النحو الوافي "، دار المعارف، القاهرة، ط8 ،1986م ،1\15.</w:t>
      </w:r>
    </w:p>
  </w:endnote>
  <w:endnote w:id="45">
    <w:p w:rsidR="007C16BD" w:rsidRPr="00C07072" w:rsidRDefault="007C16BD" w:rsidP="007C16BD">
      <w:pPr>
        <w:pStyle w:val="Notedefin"/>
        <w:tabs>
          <w:tab w:val="left" w:pos="6645"/>
        </w:tabs>
        <w:bidi/>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[58]</w:t>
      </w:r>
      <w:r w:rsidRPr="00C07072">
        <w:rPr>
          <w:rFonts w:ascii="Traditional Arabic" w:hAnsi="Traditional Arabic" w:cs="Traditional Arabic"/>
          <w:sz w:val="28"/>
          <w:szCs w:val="28"/>
          <w:lang w:val="en-US"/>
        </w:rPr>
        <w:t xml:space="preserve"> -L Bloomfield, language</w:t>
      </w:r>
      <w:r w:rsidRPr="00C07072">
        <w:rPr>
          <w:rFonts w:ascii="Traditional Arabic" w:hAnsi="Traditional Arabic" w:cs="Traditional Arabic"/>
          <w:sz w:val="28"/>
          <w:szCs w:val="28"/>
          <w:rtl/>
        </w:rPr>
        <w:t xml:space="preserve"> و</w:t>
      </w:r>
      <w:r w:rsidRPr="00C07072">
        <w:rPr>
          <w:rFonts w:ascii="Traditional Arabic" w:hAnsi="Traditional Arabic" w:cs="Traditional Arabic"/>
          <w:sz w:val="28"/>
          <w:szCs w:val="28"/>
          <w:lang w:val="en-US"/>
        </w:rPr>
        <w:t>p 170.</w:t>
      </w:r>
      <w:r w:rsidRPr="00C07072">
        <w:rPr>
          <w:rFonts w:ascii="Traditional Arabic" w:hAnsi="Traditional Arabic" w:cs="Traditional Arabic"/>
          <w:sz w:val="28"/>
          <w:szCs w:val="28"/>
          <w:lang w:val="en-US"/>
        </w:rPr>
        <w:tab/>
      </w:r>
    </w:p>
  </w:endnote>
  <w:endnote w:id="46">
    <w:p w:rsidR="007C16BD" w:rsidRPr="00C07072" w:rsidRDefault="007C16BD" w:rsidP="007C16BD">
      <w:pPr>
        <w:pStyle w:val="Notedefin"/>
        <w:bidi/>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[59]</w:t>
      </w:r>
      <w:r w:rsidRPr="00C07072">
        <w:rPr>
          <w:rFonts w:ascii="Traditional Arabic" w:hAnsi="Traditional Arabic" w:cs="Traditional Arabic"/>
          <w:sz w:val="28"/>
          <w:szCs w:val="28"/>
          <w:lang w:val="en-US"/>
        </w:rPr>
        <w:t xml:space="preserve"> -Larousse, librairie larousse,Canada,1980, p877</w:t>
      </w:r>
      <w:r w:rsidRPr="00C07072">
        <w:rPr>
          <w:rFonts w:ascii="Traditional Arabic" w:hAnsi="Traditional Arabic" w:cs="Traditional Arabic"/>
          <w:sz w:val="28"/>
          <w:szCs w:val="28"/>
        </w:rPr>
        <w:t>.</w:t>
      </w:r>
    </w:p>
  </w:endnote>
  <w:endnote w:id="47">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30" w:name="_edn60"/>
      <w:bookmarkEnd w:id="30"/>
      <w:r w:rsidRPr="00C07072">
        <w:rPr>
          <w:rFonts w:ascii="Traditional Arabic" w:hAnsi="Traditional Arabic" w:cs="Traditional Arabic"/>
          <w:sz w:val="28"/>
          <w:szCs w:val="28"/>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[60]</w:t>
      </w:r>
      <w:r w:rsidRPr="00C07072">
        <w:rPr>
          <w:rFonts w:ascii="Traditional Arabic" w:hAnsi="Traditional Arabic" w:cs="Traditional Arabic"/>
          <w:sz w:val="28"/>
          <w:szCs w:val="28"/>
          <w:rtl/>
        </w:rPr>
        <w:t xml:space="preserve"> براجستراسر؛ " التطور النحوي للغة العربية"، ترجمة: رمضان عبد التواب ، مكتبة الخانجي، القاهرة</w:t>
      </w:r>
      <w:r w:rsidRPr="00C07072">
        <w:rPr>
          <w:rFonts w:ascii="Traditional Arabic" w:hAnsi="Traditional Arabic" w:cs="Traditional Arabic"/>
          <w:sz w:val="28"/>
          <w:szCs w:val="28"/>
          <w:lang w:val="en-US"/>
        </w:rPr>
        <w:t xml:space="preserve"> 2</w:t>
      </w:r>
      <w:r w:rsidRPr="00C07072">
        <w:rPr>
          <w:rFonts w:ascii="Traditional Arabic" w:hAnsi="Traditional Arabic" w:cs="Traditional Arabic"/>
          <w:sz w:val="28"/>
          <w:szCs w:val="28"/>
          <w:rtl/>
          <w:lang w:val="en-US"/>
        </w:rPr>
        <w:t>ط</w:t>
      </w:r>
      <w:r w:rsidRPr="00C07072">
        <w:rPr>
          <w:rFonts w:ascii="Traditional Arabic" w:hAnsi="Traditional Arabic" w:cs="Traditional Arabic"/>
          <w:sz w:val="28"/>
          <w:szCs w:val="28"/>
          <w:rtl/>
        </w:rPr>
        <w:t xml:space="preserve"> ،ص125.</w:t>
      </w:r>
    </w:p>
  </w:endnote>
  <w:endnote w:id="48">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31" w:name="_edn61"/>
      <w:bookmarkEnd w:id="31"/>
      <w:r w:rsidRPr="00C07072">
        <w:rPr>
          <w:rFonts w:ascii="Traditional Arabic" w:hAnsi="Traditional Arabic" w:cs="Traditional Arabic"/>
          <w:sz w:val="28"/>
          <w:szCs w:val="28"/>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[61]</w:t>
      </w:r>
      <w:r w:rsidRPr="00C07072">
        <w:rPr>
          <w:rFonts w:ascii="Traditional Arabic" w:hAnsi="Traditional Arabic" w:cs="Traditional Arabic"/>
          <w:sz w:val="28"/>
          <w:szCs w:val="28"/>
          <w:rtl/>
        </w:rPr>
        <w:t xml:space="preserve"> نفسه ص125.</w:t>
      </w:r>
    </w:p>
  </w:endnote>
  <w:endnote w:id="49">
    <w:p w:rsidR="007C16BD" w:rsidRPr="00C07072" w:rsidRDefault="007C16BD" w:rsidP="007C16BD">
      <w:pPr>
        <w:pStyle w:val="Notedebasdepage"/>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[62]</w:t>
      </w:r>
      <w:r w:rsidRPr="00C07072">
        <w:rPr>
          <w:rFonts w:ascii="Traditional Arabic" w:hAnsi="Traditional Arabic" w:cs="Traditional Arabic"/>
          <w:sz w:val="28"/>
          <w:szCs w:val="28"/>
          <w:rtl/>
        </w:rPr>
        <w:t>- دي سوسير، " محاضرات في الألسنية العامة "، ص28.</w:t>
      </w:r>
    </w:p>
  </w:endnote>
  <w:endnote w:id="50">
    <w:p w:rsidR="007C16BD" w:rsidRPr="00C07072" w:rsidRDefault="007C16BD" w:rsidP="007C16BD">
      <w:pPr>
        <w:pStyle w:val="Notedefin"/>
        <w:bidi/>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[63]</w:t>
      </w:r>
      <w:r w:rsidRPr="00C07072">
        <w:rPr>
          <w:rFonts w:ascii="Traditional Arabic" w:hAnsi="Traditional Arabic" w:cs="Traditional Arabic"/>
          <w:sz w:val="28"/>
          <w:szCs w:val="28"/>
        </w:rPr>
        <w:t xml:space="preserve"> -</w:t>
      </w:r>
      <w:r w:rsidRPr="00C07072">
        <w:rPr>
          <w:rFonts w:ascii="Traditional Arabic" w:hAnsi="Traditional Arabic" w:cs="Traditional Arabic"/>
          <w:sz w:val="28"/>
          <w:szCs w:val="28"/>
          <w:lang w:val="en-US"/>
        </w:rPr>
        <w:t>Chomsky ,p15</w:t>
      </w:r>
    </w:p>
  </w:endnote>
  <w:endnote w:id="51">
    <w:p w:rsidR="007C16BD" w:rsidRPr="00C07072" w:rsidRDefault="007C16BD" w:rsidP="007C16BD">
      <w:pPr>
        <w:pStyle w:val="Notedefin"/>
        <w:bidi/>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[64]</w:t>
      </w:r>
      <w:r w:rsidRPr="00C07072">
        <w:rPr>
          <w:rFonts w:ascii="Traditional Arabic" w:hAnsi="Traditional Arabic" w:cs="Traditional Arabic"/>
          <w:sz w:val="28"/>
          <w:szCs w:val="28"/>
          <w:lang w:val="en-US"/>
        </w:rPr>
        <w:t xml:space="preserve"> -Chomsky ,p15 </w:t>
      </w:r>
    </w:p>
  </w:endnote>
  <w:endnote w:id="52">
    <w:p w:rsidR="007C16BD" w:rsidRPr="00C07072" w:rsidRDefault="007C16BD" w:rsidP="007C16BD">
      <w:pPr>
        <w:pStyle w:val="Notedefin"/>
        <w:bidi/>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[65]</w:t>
      </w:r>
      <w:r w:rsidRPr="00C07072">
        <w:rPr>
          <w:rFonts w:ascii="Traditional Arabic" w:hAnsi="Traditional Arabic" w:cs="Traditional Arabic"/>
          <w:sz w:val="28"/>
          <w:szCs w:val="28"/>
          <w:lang w:val="en-US"/>
        </w:rPr>
        <w:t>-Chomsky ,p15</w:t>
      </w:r>
    </w:p>
  </w:endnote>
  <w:endnote w:id="53">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[66]</w:t>
      </w:r>
      <w:r w:rsidRPr="00C07072">
        <w:rPr>
          <w:rFonts w:ascii="Traditional Arabic" w:hAnsi="Traditional Arabic" w:cs="Traditional Arabic"/>
          <w:sz w:val="28"/>
          <w:szCs w:val="28"/>
          <w:rtl/>
        </w:rPr>
        <w:t>- ينظر نوم تشومسكي، ترجمة حاتم الزغل ، "النظرة التحويلية للتركيب اللغوي"،مجلة الحياة الثقافية تونس، عدد 40،1986م ،تونس ، ص207.</w:t>
      </w:r>
    </w:p>
  </w:endnote>
  <w:endnote w:id="54">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[67]</w:t>
      </w:r>
      <w:r w:rsidRPr="00C07072">
        <w:rPr>
          <w:rFonts w:ascii="Traditional Arabic" w:hAnsi="Traditional Arabic" w:cs="Traditional Arabic"/>
          <w:sz w:val="28"/>
          <w:szCs w:val="28"/>
          <w:rtl/>
        </w:rPr>
        <w:t>- محمود أحمد نحلة، " نظام الجملة في المعلقات"، ص15 .</w:t>
      </w:r>
    </w:p>
  </w:endnote>
  <w:endnote w:id="55">
    <w:p w:rsidR="007C16BD" w:rsidRPr="00C07072" w:rsidRDefault="007C16BD" w:rsidP="007C16BD">
      <w:pPr>
        <w:pStyle w:val="Notedefin"/>
        <w:bidi/>
        <w:jc w:val="both"/>
        <w:rPr>
          <w:rFonts w:ascii="Traditional Arabic" w:hAnsi="Traditional Arabic" w:cs="Traditional Arabic"/>
          <w:sz w:val="28"/>
          <w:szCs w:val="28"/>
          <w:rtl/>
        </w:rPr>
      </w:pP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[68]</w:t>
      </w:r>
      <w:r w:rsidRPr="00C07072">
        <w:rPr>
          <w:rFonts w:ascii="Traditional Arabic" w:hAnsi="Traditional Arabic" w:cs="Traditional Arabic"/>
          <w:sz w:val="28"/>
          <w:szCs w:val="28"/>
        </w:rPr>
        <w:t xml:space="preserve"> -Georges Mounin, Clefs pour linguistique, Edition Seghers Etienne France, 1973.</w:t>
      </w:r>
    </w:p>
  </w:endnote>
  <w:endnote w:id="56">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32" w:name="_edn69"/>
      <w:bookmarkEnd w:id="32"/>
      <w:r w:rsidRPr="00C07072">
        <w:rPr>
          <w:rFonts w:ascii="Traditional Arabic" w:hAnsi="Traditional Arabic" w:cs="Traditional Arabic"/>
          <w:sz w:val="28"/>
          <w:szCs w:val="28"/>
        </w:rPr>
        <w:t xml:space="preserve"> </w:t>
      </w:r>
      <w:r w:rsidRPr="00C07072">
        <w:rPr>
          <w:rFonts w:ascii="Traditional Arabic" w:hAnsi="Traditional Arabic" w:cs="Traditional Arabic"/>
          <w:sz w:val="28"/>
          <w:szCs w:val="28"/>
          <w:lang w:val="en-US"/>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[69]</w:t>
      </w:r>
      <w:r w:rsidRPr="00C07072">
        <w:rPr>
          <w:rFonts w:ascii="Traditional Arabic" w:hAnsi="Traditional Arabic" w:cs="Traditional Arabic"/>
          <w:sz w:val="28"/>
          <w:szCs w:val="28"/>
          <w:rtl/>
        </w:rPr>
        <w:t>تمام حسان ؛ " اللغة بين المعيارية والوصفية"، ص2.</w:t>
      </w:r>
    </w:p>
  </w:endnote>
  <w:endnote w:id="57">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33" w:name="_edn70"/>
      <w:bookmarkEnd w:id="33"/>
      <w:r w:rsidRPr="00C07072">
        <w:rPr>
          <w:rFonts w:ascii="Traditional Arabic" w:hAnsi="Traditional Arabic" w:cs="Traditional Arabic"/>
          <w:sz w:val="28"/>
          <w:szCs w:val="28"/>
          <w:lang w:val="en-US"/>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[70]</w:t>
      </w:r>
      <w:r w:rsidRPr="00C07072">
        <w:rPr>
          <w:rFonts w:ascii="Traditional Arabic" w:hAnsi="Traditional Arabic" w:cs="Traditional Arabic"/>
          <w:sz w:val="28"/>
          <w:szCs w:val="28"/>
          <w:rtl/>
        </w:rPr>
        <w:t xml:space="preserve"> سيبويه، "الكتاب" ، ت.عبد سلام هارون ، دار الجيل، بيروت، لبنان، ط1، د.ت ،1/8.</w:t>
      </w:r>
    </w:p>
  </w:endnote>
  <w:endnote w:id="58">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34" w:name="_edn71"/>
      <w:bookmarkEnd w:id="34"/>
      <w:r w:rsidRPr="00C07072">
        <w:rPr>
          <w:rFonts w:ascii="Traditional Arabic" w:hAnsi="Traditional Arabic" w:cs="Traditional Arabic"/>
          <w:sz w:val="28"/>
          <w:szCs w:val="28"/>
          <w:rtl/>
        </w:rPr>
        <w:t xml:space="preserve"> </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[71]</w:t>
      </w:r>
      <w:r w:rsidRPr="00C07072">
        <w:rPr>
          <w:rFonts w:ascii="Traditional Arabic" w:hAnsi="Traditional Arabic" w:cs="Traditional Arabic"/>
          <w:sz w:val="28"/>
          <w:szCs w:val="28"/>
          <w:rtl/>
        </w:rPr>
        <w:t>الزمخشريأبي القاسم ،المفصل في صنعة الإعراب  ت على بوملحم ،دار ومكتبة الهلال، بيروت،ط1،2003م، ص44.</w:t>
      </w:r>
    </w:p>
  </w:endnote>
  <w:endnote w:id="59">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35" w:name="_edn72"/>
      <w:bookmarkEnd w:id="35"/>
      <w:r w:rsidRPr="00C07072">
        <w:rPr>
          <w:rFonts w:ascii="Traditional Arabic" w:hAnsi="Traditional Arabic" w:cs="Traditional Arabic"/>
          <w:sz w:val="28"/>
          <w:szCs w:val="28"/>
          <w:rtl/>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[72]</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-ابن هشام ، "مغني اللبيب عن كتب الأعاريب"، دار الفكر للطباعة والنشر، دمشق، د.ط، د.ت، 2/43.</w:t>
      </w:r>
    </w:p>
  </w:endnote>
  <w:endnote w:id="60">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36" w:name="_edn73"/>
      <w:bookmarkEnd w:id="36"/>
      <w:r w:rsidRPr="00C07072">
        <w:rPr>
          <w:rFonts w:ascii="Traditional Arabic" w:hAnsi="Traditional Arabic" w:cs="Traditional Arabic"/>
          <w:sz w:val="28"/>
          <w:szCs w:val="28"/>
          <w:rtl/>
        </w:rPr>
        <w:t xml:space="preserve"> </w:t>
      </w:r>
      <w:r w:rsidRPr="00C07072">
        <w:rPr>
          <w:rFonts w:ascii="Traditional Arabic" w:hAnsi="Traditional Arabic" w:cs="Traditional Arabic"/>
          <w:sz w:val="28"/>
          <w:szCs w:val="28"/>
          <w:lang w:val="en-US"/>
        </w:rPr>
        <w:t>-)</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[73]</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السيوطي ،"همع الهوامع " 1/40.</w:t>
      </w:r>
    </w:p>
  </w:endnote>
  <w:endnote w:id="61">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37" w:name="_edn74"/>
      <w:bookmarkEnd w:id="37"/>
      <w:r w:rsidRPr="00C07072">
        <w:rPr>
          <w:rFonts w:ascii="Traditional Arabic" w:hAnsi="Traditional Arabic" w:cs="Traditional Arabic"/>
          <w:sz w:val="28"/>
          <w:szCs w:val="28"/>
          <w:rtl/>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[74]</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-ابن هشام ، "مغني اللبيب عن كتب الأعاريب" ، 1/35.</w:t>
      </w:r>
    </w:p>
  </w:endnote>
  <w:endnote w:id="62">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38" w:name="_edn75"/>
      <w:bookmarkEnd w:id="38"/>
      <w:r w:rsidRPr="00C07072">
        <w:rPr>
          <w:rFonts w:ascii="Traditional Arabic" w:hAnsi="Traditional Arabic" w:cs="Traditional Arabic"/>
          <w:sz w:val="28"/>
          <w:szCs w:val="28"/>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[75]</w:t>
      </w:r>
      <w:r w:rsidRPr="00C07072">
        <w:rPr>
          <w:rFonts w:ascii="Traditional Arabic" w:hAnsi="Traditional Arabic" w:cs="Traditional Arabic"/>
          <w:sz w:val="28"/>
          <w:szCs w:val="28"/>
          <w:rtl/>
        </w:rPr>
        <w:t>النساء الآية 83.</w:t>
      </w:r>
    </w:p>
  </w:endnote>
  <w:endnote w:id="63">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39" w:name="_edn76"/>
      <w:bookmarkEnd w:id="39"/>
      <w:r w:rsidRPr="00C07072">
        <w:rPr>
          <w:rFonts w:ascii="Traditional Arabic" w:hAnsi="Traditional Arabic" w:cs="Traditional Arabic"/>
          <w:sz w:val="28"/>
          <w:szCs w:val="28"/>
        </w:rPr>
        <w:t xml:space="preserve"> -</w:t>
      </w:r>
      <w:r w:rsidRPr="00C07072">
        <w:rPr>
          <w:rFonts w:ascii="Traditional Arabic" w:hAnsi="Traditional Arabic" w:cs="Traditional Arabic"/>
          <w:sz w:val="28"/>
          <w:szCs w:val="28"/>
          <w:lang w:val="en-US"/>
        </w:rPr>
        <w:endnoteRef/>
      </w:r>
      <w:r w:rsidRPr="00C07072">
        <w:rPr>
          <w:rFonts w:ascii="Traditional Arabic" w:eastAsia="Calibri" w:hAnsi="Traditional Arabic" w:cs="Traditional Arabic"/>
          <w:sz w:val="28"/>
          <w:szCs w:val="28"/>
          <w:lang w:val="en-US" w:eastAsia="en-US"/>
        </w:rPr>
        <w:t>[76]</w:t>
      </w:r>
      <w:r w:rsidRPr="00C07072">
        <w:rPr>
          <w:rFonts w:ascii="Traditional Arabic" w:hAnsi="Traditional Arabic" w:cs="Traditional Arabic"/>
          <w:sz w:val="28"/>
          <w:szCs w:val="28"/>
          <w:rtl/>
        </w:rPr>
        <w:t>محمد حماس عبد اللطيف، "العلامة الإعرابية في الجملة بين القديم والحديث "،ص95-96.</w:t>
      </w:r>
    </w:p>
  </w:endnote>
  <w:endnote w:id="64">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40" w:name="_edn77"/>
      <w:bookmarkEnd w:id="40"/>
      <w:r w:rsidRPr="00C07072">
        <w:rPr>
          <w:rFonts w:ascii="Traditional Arabic" w:hAnsi="Traditional Arabic" w:cs="Traditional Arabic"/>
          <w:sz w:val="28"/>
          <w:szCs w:val="28"/>
        </w:rPr>
        <w:t>-</w:t>
      </w: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[77]</w:t>
      </w:r>
      <w:r w:rsidRPr="00C07072">
        <w:rPr>
          <w:rFonts w:ascii="Traditional Arabic" w:hAnsi="Traditional Arabic" w:cs="Traditional Arabic"/>
          <w:sz w:val="28"/>
          <w:szCs w:val="28"/>
        </w:rPr>
        <w:t xml:space="preserve">  </w:t>
      </w:r>
      <w:r w:rsidRPr="00C07072">
        <w:rPr>
          <w:rFonts w:ascii="Traditional Arabic" w:hAnsi="Traditional Arabic" w:cs="Traditional Arabic"/>
          <w:sz w:val="28"/>
          <w:szCs w:val="28"/>
          <w:rtl/>
        </w:rPr>
        <w:t xml:space="preserve"> سورة هود، الآية 98</w:t>
      </w:r>
      <w:r w:rsidRPr="00C07072">
        <w:rPr>
          <w:rFonts w:ascii="Traditional Arabic" w:hAnsi="Traditional Arabic" w:cs="Traditional Arabic"/>
          <w:sz w:val="28"/>
          <w:szCs w:val="28"/>
        </w:rPr>
        <w:t xml:space="preserve">. </w:t>
      </w:r>
    </w:p>
  </w:endnote>
  <w:endnote w:id="65">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41" w:name="_edn78"/>
      <w:bookmarkEnd w:id="41"/>
      <w:r w:rsidRPr="00C07072">
        <w:rPr>
          <w:rFonts w:ascii="Traditional Arabic" w:hAnsi="Traditional Arabic" w:cs="Traditional Arabic"/>
          <w:sz w:val="28"/>
          <w:szCs w:val="28"/>
          <w:rtl/>
        </w:rPr>
        <w:t xml:space="preserve"> </w:t>
      </w:r>
      <w:r w:rsidRPr="00C07072">
        <w:rPr>
          <w:rFonts w:ascii="Traditional Arabic" w:hAnsi="Traditional Arabic" w:cs="Traditional Arabic"/>
          <w:sz w:val="28"/>
          <w:szCs w:val="28"/>
        </w:rPr>
        <w:t>-</w:t>
      </w: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[78]</w:t>
      </w:r>
      <w:r w:rsidRPr="00C07072">
        <w:rPr>
          <w:rFonts w:ascii="Traditional Arabic" w:hAnsi="Traditional Arabic" w:cs="Traditional Arabic"/>
          <w:sz w:val="28"/>
          <w:szCs w:val="28"/>
        </w:rPr>
        <w:t xml:space="preserve"> </w:t>
      </w:r>
      <w:r w:rsidRPr="00C07072">
        <w:rPr>
          <w:rFonts w:ascii="Traditional Arabic" w:hAnsi="Traditional Arabic" w:cs="Traditional Arabic"/>
          <w:sz w:val="28"/>
          <w:szCs w:val="28"/>
          <w:rtl/>
        </w:rPr>
        <w:t>عبد اللطيف حماسة، " العلامة الإعرابية"، ص110.</w:t>
      </w:r>
    </w:p>
  </w:endnote>
  <w:endnote w:id="66">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[79]</w:t>
      </w:r>
      <w:r w:rsidRPr="00C07072">
        <w:rPr>
          <w:rFonts w:ascii="Traditional Arabic" w:hAnsi="Traditional Arabic" w:cs="Traditional Arabic"/>
          <w:sz w:val="28"/>
          <w:szCs w:val="28"/>
          <w:lang w:val="en-US"/>
        </w:rPr>
        <w:t xml:space="preserve">  </w:t>
      </w:r>
      <w:r w:rsidRPr="00C07072">
        <w:rPr>
          <w:rFonts w:ascii="Traditional Arabic" w:hAnsi="Traditional Arabic" w:cs="Traditional Arabic"/>
          <w:sz w:val="28"/>
          <w:szCs w:val="28"/>
          <w:rtl/>
        </w:rPr>
        <w:t>- مهدي المخزومي، "في النحو العربي نقد وتوجيه"، ص41-42.</w:t>
      </w:r>
    </w:p>
  </w:endnote>
  <w:endnote w:id="67">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42" w:name="_edn80"/>
      <w:bookmarkEnd w:id="42"/>
      <w:r w:rsidRPr="00C07072">
        <w:rPr>
          <w:rFonts w:ascii="Traditional Arabic" w:hAnsi="Traditional Arabic" w:cs="Traditional Arabic"/>
          <w:sz w:val="28"/>
          <w:szCs w:val="28"/>
        </w:rPr>
        <w:t>-</w:t>
      </w: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[80]</w:t>
      </w:r>
      <w:r w:rsidRPr="00C07072">
        <w:rPr>
          <w:rFonts w:ascii="Traditional Arabic" w:hAnsi="Traditional Arabic" w:cs="Traditional Arabic"/>
          <w:sz w:val="28"/>
          <w:szCs w:val="28"/>
          <w:rtl/>
        </w:rPr>
        <w:t xml:space="preserve">  محمود أحمد نحلة، " نظام الجملة في المعلقات"، ص15.</w:t>
      </w:r>
    </w:p>
  </w:endnote>
  <w:endnote w:id="68">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43" w:name="_edn81"/>
      <w:bookmarkEnd w:id="43"/>
      <w:r w:rsidRPr="00C07072">
        <w:rPr>
          <w:rFonts w:ascii="Traditional Arabic" w:hAnsi="Traditional Arabic" w:cs="Traditional Arabic"/>
          <w:sz w:val="28"/>
          <w:szCs w:val="28"/>
        </w:rPr>
        <w:t>-</w:t>
      </w: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[81]</w:t>
      </w:r>
      <w:r w:rsidRPr="00C07072">
        <w:rPr>
          <w:rFonts w:ascii="Traditional Arabic" w:hAnsi="Traditional Arabic" w:cs="Traditional Arabic"/>
          <w:sz w:val="28"/>
          <w:szCs w:val="28"/>
          <w:rtl/>
        </w:rPr>
        <w:t xml:space="preserve"> نفسه، ص 15.</w:t>
      </w:r>
    </w:p>
  </w:endnote>
  <w:endnote w:id="69">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[82]</w:t>
      </w:r>
      <w:r w:rsidRPr="00C07072">
        <w:rPr>
          <w:rFonts w:ascii="Traditional Arabic" w:hAnsi="Traditional Arabic" w:cs="Traditional Arabic"/>
          <w:sz w:val="28"/>
          <w:szCs w:val="28"/>
          <w:rtl/>
        </w:rPr>
        <w:t>- نفسه، ص 17.</w:t>
      </w:r>
    </w:p>
  </w:endnote>
  <w:endnote w:id="70">
    <w:p w:rsidR="007C16BD" w:rsidRPr="00C07072" w:rsidRDefault="007C16BD" w:rsidP="007C16BD">
      <w:pPr>
        <w:pStyle w:val="Notedefin"/>
        <w:bidi/>
        <w:ind w:left="281" w:hanging="283"/>
        <w:contextualSpacing/>
        <w:jc w:val="both"/>
        <w:rPr>
          <w:rFonts w:ascii="Traditional Arabic" w:hAnsi="Traditional Arabic" w:cs="Traditional Arabic"/>
          <w:sz w:val="28"/>
          <w:szCs w:val="28"/>
          <w:rtl/>
        </w:rPr>
      </w:pPr>
      <w:bookmarkStart w:id="44" w:name="_edn83"/>
      <w:bookmarkEnd w:id="44"/>
      <w:r w:rsidRPr="00C07072">
        <w:rPr>
          <w:rFonts w:ascii="Traditional Arabic" w:hAnsi="Traditional Arabic" w:cs="Traditional Arabic"/>
          <w:sz w:val="28"/>
          <w:szCs w:val="28"/>
        </w:rPr>
        <w:t>-</w:t>
      </w:r>
      <w:r w:rsidRPr="00C07072">
        <w:rPr>
          <w:rFonts w:ascii="Traditional Arabic" w:hAnsi="Traditional Arabic" w:cs="Traditional Arabic"/>
          <w:sz w:val="28"/>
          <w:szCs w:val="28"/>
        </w:rPr>
        <w:endnoteRef/>
      </w:r>
      <w:r w:rsidRPr="00C07072">
        <w:rPr>
          <w:rFonts w:ascii="Traditional Arabic" w:eastAsia="Calibri" w:hAnsi="Traditional Arabic" w:cs="Traditional Arabic"/>
          <w:sz w:val="28"/>
          <w:szCs w:val="28"/>
          <w:lang w:eastAsia="en-US"/>
        </w:rPr>
        <w:t>[83]</w:t>
      </w:r>
      <w:r w:rsidRPr="00C07072">
        <w:rPr>
          <w:rFonts w:ascii="Traditional Arabic" w:hAnsi="Traditional Arabic" w:cs="Traditional Arabic"/>
          <w:sz w:val="28"/>
          <w:szCs w:val="28"/>
          <w:rtl/>
        </w:rPr>
        <w:t xml:space="preserve"> مازن الوعر، "نحو نظرية لسانية عربية حديثة لتحليل التراكيب الأساسية في اللغة العربية " دار طلاس للدراسات والترجمة والنشر، دمشق، ط1، 1987م، ص27.</w:t>
      </w:r>
      <w:r w:rsidRPr="00C07072">
        <w:rPr>
          <w:rFonts w:ascii="Traditional Arabic" w:hAnsi="Traditional Arabic" w:cs="Traditional Arabic"/>
          <w:sz w:val="28"/>
          <w:szCs w:val="28"/>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874" w:rsidRDefault="00A31874" w:rsidP="007C16BD">
      <w:r>
        <w:separator/>
      </w:r>
    </w:p>
  </w:footnote>
  <w:footnote w:type="continuationSeparator" w:id="1">
    <w:p w:rsidR="00A31874" w:rsidRDefault="00A31874" w:rsidP="007C16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64C22"/>
    <w:multiLevelType w:val="multilevel"/>
    <w:tmpl w:val="0072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9D5441"/>
    <w:multiLevelType w:val="multilevel"/>
    <w:tmpl w:val="CF0C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7C7A94"/>
    <w:multiLevelType w:val="multilevel"/>
    <w:tmpl w:val="8CEA9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C16BD"/>
    <w:rsid w:val="000615E5"/>
    <w:rsid w:val="00167D30"/>
    <w:rsid w:val="002105C5"/>
    <w:rsid w:val="00647DF7"/>
    <w:rsid w:val="0079510B"/>
    <w:rsid w:val="007C16BD"/>
    <w:rsid w:val="008461DE"/>
    <w:rsid w:val="00A31874"/>
    <w:rsid w:val="00C07072"/>
    <w:rsid w:val="00CC34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D30"/>
  </w:style>
  <w:style w:type="paragraph" w:styleId="Titre2">
    <w:name w:val="heading 2"/>
    <w:basedOn w:val="Normal"/>
    <w:link w:val="Titre2Car"/>
    <w:uiPriority w:val="9"/>
    <w:qFormat/>
    <w:rsid w:val="00647DF7"/>
    <w:pPr>
      <w:spacing w:before="100" w:beforeAutospacing="1" w:after="100" w:afterAutospacing="1"/>
      <w:ind w:firstLine="0"/>
      <w:jc w:val="left"/>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47DF7"/>
    <w:pPr>
      <w:spacing w:before="100" w:beforeAutospacing="1" w:after="100" w:afterAutospacing="1"/>
      <w:ind w:firstLine="0"/>
      <w:jc w:val="left"/>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647DF7"/>
    <w:pPr>
      <w:spacing w:before="100" w:beforeAutospacing="1" w:after="100" w:afterAutospacing="1"/>
      <w:ind w:firstLine="0"/>
      <w:jc w:val="left"/>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C16BD"/>
    <w:rPr>
      <w:b/>
      <w:bCs/>
    </w:rPr>
  </w:style>
  <w:style w:type="character" w:styleId="Lienhypertexte">
    <w:name w:val="Hyperlink"/>
    <w:basedOn w:val="Policepardfaut"/>
    <w:uiPriority w:val="99"/>
    <w:semiHidden/>
    <w:unhideWhenUsed/>
    <w:rsid w:val="007C16BD"/>
    <w:rPr>
      <w:color w:val="0000FF"/>
      <w:u w:val="single"/>
    </w:rPr>
  </w:style>
  <w:style w:type="paragraph" w:styleId="NormalWeb">
    <w:name w:val="Normal (Web)"/>
    <w:basedOn w:val="Normal"/>
    <w:uiPriority w:val="99"/>
    <w:semiHidden/>
    <w:unhideWhenUsed/>
    <w:rsid w:val="007C16BD"/>
    <w:pPr>
      <w:spacing w:before="100" w:beforeAutospacing="1" w:after="100" w:afterAutospacing="1"/>
      <w:ind w:firstLine="0"/>
      <w:jc w:val="left"/>
    </w:pPr>
    <w:rPr>
      <w:rFonts w:ascii="Times New Roman" w:eastAsia="Times New Roman" w:hAnsi="Times New Roman" w:cs="Times New Roman"/>
      <w:sz w:val="24"/>
      <w:szCs w:val="24"/>
      <w:lang w:eastAsia="fr-FR"/>
    </w:rPr>
  </w:style>
  <w:style w:type="paragraph" w:customStyle="1" w:styleId="a">
    <w:name w:val="a"/>
    <w:basedOn w:val="Normal"/>
    <w:rsid w:val="007C16BD"/>
    <w:pPr>
      <w:spacing w:before="100" w:beforeAutospacing="1" w:after="100" w:afterAutospacing="1"/>
      <w:ind w:firstLine="0"/>
      <w:jc w:val="left"/>
    </w:pPr>
    <w:rPr>
      <w:rFonts w:ascii="Times New Roman" w:eastAsia="Times New Roman" w:hAnsi="Times New Roman" w:cs="Times New Roman"/>
      <w:sz w:val="24"/>
      <w:szCs w:val="24"/>
      <w:lang w:eastAsia="fr-FR"/>
    </w:rPr>
  </w:style>
  <w:style w:type="character" w:styleId="Appeldenotedefin">
    <w:name w:val="endnote reference"/>
    <w:basedOn w:val="Policepardfaut"/>
    <w:uiPriority w:val="99"/>
    <w:semiHidden/>
    <w:unhideWhenUsed/>
    <w:rsid w:val="007C16BD"/>
  </w:style>
  <w:style w:type="paragraph" w:styleId="Notedefin">
    <w:name w:val="endnote text"/>
    <w:basedOn w:val="Normal"/>
    <w:link w:val="NotedefinCar"/>
    <w:uiPriority w:val="99"/>
    <w:semiHidden/>
    <w:unhideWhenUsed/>
    <w:rsid w:val="007C16BD"/>
    <w:pPr>
      <w:spacing w:before="100" w:beforeAutospacing="1" w:after="100" w:afterAutospacing="1"/>
      <w:ind w:firstLine="0"/>
      <w:jc w:val="left"/>
    </w:pPr>
    <w:rPr>
      <w:rFonts w:ascii="Times New Roman" w:eastAsia="Times New Roman" w:hAnsi="Times New Roman" w:cs="Times New Roman"/>
      <w:sz w:val="24"/>
      <w:szCs w:val="24"/>
      <w:lang w:eastAsia="fr-FR"/>
    </w:rPr>
  </w:style>
  <w:style w:type="character" w:customStyle="1" w:styleId="NotedefinCar">
    <w:name w:val="Note de fin Car"/>
    <w:basedOn w:val="Policepardfaut"/>
    <w:link w:val="Notedefin"/>
    <w:uiPriority w:val="99"/>
    <w:semiHidden/>
    <w:rsid w:val="007C16BD"/>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C16BD"/>
    <w:rPr>
      <w:i/>
      <w:iCs/>
    </w:rPr>
  </w:style>
  <w:style w:type="paragraph" w:styleId="Notedebasdepage">
    <w:name w:val="footnote text"/>
    <w:basedOn w:val="Normal"/>
    <w:link w:val="NotedebasdepageCar"/>
    <w:uiPriority w:val="99"/>
    <w:semiHidden/>
    <w:unhideWhenUsed/>
    <w:rsid w:val="007C16BD"/>
    <w:pPr>
      <w:spacing w:before="100" w:beforeAutospacing="1" w:after="100" w:afterAutospacing="1"/>
      <w:ind w:firstLine="0"/>
      <w:jc w:val="left"/>
    </w:pPr>
    <w:rPr>
      <w:rFonts w:ascii="Times New Roman" w:eastAsia="Times New Roman" w:hAnsi="Times New Roman" w:cs="Times New Roman"/>
      <w:sz w:val="24"/>
      <w:szCs w:val="24"/>
      <w:lang w:eastAsia="fr-FR"/>
    </w:rPr>
  </w:style>
  <w:style w:type="character" w:customStyle="1" w:styleId="NotedebasdepageCar">
    <w:name w:val="Note de bas de page Car"/>
    <w:basedOn w:val="Policepardfaut"/>
    <w:link w:val="Notedebasdepage"/>
    <w:uiPriority w:val="99"/>
    <w:semiHidden/>
    <w:rsid w:val="007C16BD"/>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C16BD"/>
    <w:rPr>
      <w:rFonts w:ascii="Tahoma" w:hAnsi="Tahoma" w:cs="Tahoma"/>
      <w:sz w:val="16"/>
      <w:szCs w:val="16"/>
    </w:rPr>
  </w:style>
  <w:style w:type="character" w:customStyle="1" w:styleId="TextedebullesCar">
    <w:name w:val="Texte de bulles Car"/>
    <w:basedOn w:val="Policepardfaut"/>
    <w:link w:val="Textedebulles"/>
    <w:uiPriority w:val="99"/>
    <w:semiHidden/>
    <w:rsid w:val="007C16BD"/>
    <w:rPr>
      <w:rFonts w:ascii="Tahoma" w:hAnsi="Tahoma" w:cs="Tahoma"/>
      <w:sz w:val="16"/>
      <w:szCs w:val="16"/>
    </w:rPr>
  </w:style>
  <w:style w:type="character" w:customStyle="1" w:styleId="Titre2Car">
    <w:name w:val="Titre 2 Car"/>
    <w:basedOn w:val="Policepardfaut"/>
    <w:link w:val="Titre2"/>
    <w:uiPriority w:val="9"/>
    <w:rsid w:val="00647DF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47DF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47DF7"/>
    <w:rPr>
      <w:rFonts w:ascii="Times New Roman" w:eastAsia="Times New Roman" w:hAnsi="Times New Roman" w:cs="Times New Roman"/>
      <w:b/>
      <w:bCs/>
      <w:sz w:val="24"/>
      <w:szCs w:val="24"/>
      <w:lang w:eastAsia="fr-FR"/>
    </w:rPr>
  </w:style>
  <w:style w:type="character" w:customStyle="1" w:styleId="post-author">
    <w:name w:val="post-author"/>
    <w:basedOn w:val="Policepardfaut"/>
    <w:rsid w:val="00647DF7"/>
  </w:style>
  <w:style w:type="character" w:customStyle="1" w:styleId="fn">
    <w:name w:val="fn"/>
    <w:basedOn w:val="Policepardfaut"/>
    <w:rsid w:val="00647DF7"/>
  </w:style>
  <w:style w:type="character" w:customStyle="1" w:styleId="post-timestamp">
    <w:name w:val="post-timestamp"/>
    <w:basedOn w:val="Policepardfaut"/>
    <w:rsid w:val="00647DF7"/>
  </w:style>
  <w:style w:type="character" w:customStyle="1" w:styleId="share-button-link-text">
    <w:name w:val="share-button-link-text"/>
    <w:basedOn w:val="Policepardfaut"/>
    <w:rsid w:val="00647DF7"/>
  </w:style>
  <w:style w:type="character" w:customStyle="1" w:styleId="zippy">
    <w:name w:val="zippy"/>
    <w:basedOn w:val="Policepardfaut"/>
    <w:rsid w:val="00647DF7"/>
  </w:style>
  <w:style w:type="character" w:customStyle="1" w:styleId="post-count">
    <w:name w:val="post-count"/>
    <w:basedOn w:val="Policepardfaut"/>
    <w:rsid w:val="00647DF7"/>
  </w:style>
</w:styles>
</file>

<file path=word/webSettings.xml><?xml version="1.0" encoding="utf-8"?>
<w:webSettings xmlns:r="http://schemas.openxmlformats.org/officeDocument/2006/relationships" xmlns:w="http://schemas.openxmlformats.org/wordprocessingml/2006/main">
  <w:divs>
    <w:div w:id="199785997">
      <w:bodyDiv w:val="1"/>
      <w:marLeft w:val="0"/>
      <w:marRight w:val="0"/>
      <w:marTop w:val="0"/>
      <w:marBottom w:val="0"/>
      <w:divBdr>
        <w:top w:val="none" w:sz="0" w:space="0" w:color="auto"/>
        <w:left w:val="none" w:sz="0" w:space="0" w:color="auto"/>
        <w:bottom w:val="none" w:sz="0" w:space="0" w:color="auto"/>
        <w:right w:val="none" w:sz="0" w:space="0" w:color="auto"/>
      </w:divBdr>
      <w:divsChild>
        <w:div w:id="1851943573">
          <w:marLeft w:val="0"/>
          <w:marRight w:val="0"/>
          <w:marTop w:val="0"/>
          <w:marBottom w:val="0"/>
          <w:divBdr>
            <w:top w:val="none" w:sz="0" w:space="0" w:color="auto"/>
            <w:left w:val="none" w:sz="0" w:space="0" w:color="auto"/>
            <w:bottom w:val="none" w:sz="0" w:space="0" w:color="auto"/>
            <w:right w:val="none" w:sz="0" w:space="0" w:color="auto"/>
          </w:divBdr>
          <w:divsChild>
            <w:div w:id="27688638">
              <w:marLeft w:val="0"/>
              <w:marRight w:val="0"/>
              <w:marTop w:val="0"/>
              <w:marBottom w:val="0"/>
              <w:divBdr>
                <w:top w:val="none" w:sz="0" w:space="0" w:color="auto"/>
                <w:left w:val="none" w:sz="0" w:space="0" w:color="auto"/>
                <w:bottom w:val="none" w:sz="0" w:space="0" w:color="auto"/>
                <w:right w:val="none" w:sz="0" w:space="0" w:color="auto"/>
              </w:divBdr>
              <w:divsChild>
                <w:div w:id="17615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5797">
      <w:bodyDiv w:val="1"/>
      <w:marLeft w:val="0"/>
      <w:marRight w:val="0"/>
      <w:marTop w:val="0"/>
      <w:marBottom w:val="0"/>
      <w:divBdr>
        <w:top w:val="none" w:sz="0" w:space="0" w:color="auto"/>
        <w:left w:val="none" w:sz="0" w:space="0" w:color="auto"/>
        <w:bottom w:val="none" w:sz="0" w:space="0" w:color="auto"/>
        <w:right w:val="none" w:sz="0" w:space="0" w:color="auto"/>
      </w:divBdr>
      <w:divsChild>
        <w:div w:id="715199688">
          <w:marLeft w:val="0"/>
          <w:marRight w:val="0"/>
          <w:marTop w:val="0"/>
          <w:marBottom w:val="0"/>
          <w:divBdr>
            <w:top w:val="none" w:sz="0" w:space="0" w:color="auto"/>
            <w:left w:val="none" w:sz="0" w:space="0" w:color="auto"/>
            <w:bottom w:val="none" w:sz="0" w:space="0" w:color="auto"/>
            <w:right w:val="none" w:sz="0" w:space="0" w:color="auto"/>
          </w:divBdr>
          <w:divsChild>
            <w:div w:id="899171197">
              <w:marLeft w:val="0"/>
              <w:marRight w:val="0"/>
              <w:marTop w:val="0"/>
              <w:marBottom w:val="0"/>
              <w:divBdr>
                <w:top w:val="none" w:sz="0" w:space="0" w:color="auto"/>
                <w:left w:val="none" w:sz="0" w:space="0" w:color="auto"/>
                <w:bottom w:val="none" w:sz="0" w:space="0" w:color="auto"/>
                <w:right w:val="none" w:sz="0" w:space="0" w:color="auto"/>
              </w:divBdr>
              <w:divsChild>
                <w:div w:id="1886019722">
                  <w:marLeft w:val="0"/>
                  <w:marRight w:val="0"/>
                  <w:marTop w:val="0"/>
                  <w:marBottom w:val="0"/>
                  <w:divBdr>
                    <w:top w:val="none" w:sz="0" w:space="0" w:color="auto"/>
                    <w:left w:val="none" w:sz="0" w:space="0" w:color="auto"/>
                    <w:bottom w:val="none" w:sz="0" w:space="0" w:color="auto"/>
                    <w:right w:val="none" w:sz="0" w:space="0" w:color="auto"/>
                  </w:divBdr>
                  <w:divsChild>
                    <w:div w:id="1375501710">
                      <w:marLeft w:val="0"/>
                      <w:marRight w:val="0"/>
                      <w:marTop w:val="0"/>
                      <w:marBottom w:val="0"/>
                      <w:divBdr>
                        <w:top w:val="none" w:sz="0" w:space="0" w:color="auto"/>
                        <w:left w:val="none" w:sz="0" w:space="0" w:color="auto"/>
                        <w:bottom w:val="none" w:sz="0" w:space="0" w:color="auto"/>
                        <w:right w:val="none" w:sz="0" w:space="0" w:color="auto"/>
                      </w:divBdr>
                      <w:divsChild>
                        <w:div w:id="1562449760">
                          <w:marLeft w:val="0"/>
                          <w:marRight w:val="0"/>
                          <w:marTop w:val="0"/>
                          <w:marBottom w:val="0"/>
                          <w:divBdr>
                            <w:top w:val="none" w:sz="0" w:space="0" w:color="auto"/>
                            <w:left w:val="none" w:sz="0" w:space="0" w:color="auto"/>
                            <w:bottom w:val="none" w:sz="0" w:space="0" w:color="auto"/>
                            <w:right w:val="none" w:sz="0" w:space="0" w:color="auto"/>
                          </w:divBdr>
                          <w:divsChild>
                            <w:div w:id="1579703946">
                              <w:marLeft w:val="0"/>
                              <w:marRight w:val="0"/>
                              <w:marTop w:val="0"/>
                              <w:marBottom w:val="0"/>
                              <w:divBdr>
                                <w:top w:val="none" w:sz="0" w:space="0" w:color="auto"/>
                                <w:left w:val="none" w:sz="0" w:space="0" w:color="auto"/>
                                <w:bottom w:val="none" w:sz="0" w:space="0" w:color="auto"/>
                                <w:right w:val="none" w:sz="0" w:space="0" w:color="auto"/>
                              </w:divBdr>
                              <w:divsChild>
                                <w:div w:id="170998654">
                                  <w:marLeft w:val="0"/>
                                  <w:marRight w:val="0"/>
                                  <w:marTop w:val="0"/>
                                  <w:marBottom w:val="0"/>
                                  <w:divBdr>
                                    <w:top w:val="none" w:sz="0" w:space="0" w:color="auto"/>
                                    <w:left w:val="none" w:sz="0" w:space="0" w:color="auto"/>
                                    <w:bottom w:val="none" w:sz="0" w:space="0" w:color="auto"/>
                                    <w:right w:val="none" w:sz="0" w:space="0" w:color="auto"/>
                                  </w:divBdr>
                                  <w:divsChild>
                                    <w:div w:id="1791776190">
                                      <w:marLeft w:val="0"/>
                                      <w:marRight w:val="0"/>
                                      <w:marTop w:val="0"/>
                                      <w:marBottom w:val="0"/>
                                      <w:divBdr>
                                        <w:top w:val="none" w:sz="0" w:space="0" w:color="auto"/>
                                        <w:left w:val="none" w:sz="0" w:space="0" w:color="auto"/>
                                        <w:bottom w:val="none" w:sz="0" w:space="0" w:color="auto"/>
                                        <w:right w:val="none" w:sz="0" w:space="0" w:color="auto"/>
                                      </w:divBdr>
                                      <w:divsChild>
                                        <w:div w:id="1315185506">
                                          <w:marLeft w:val="0"/>
                                          <w:marRight w:val="0"/>
                                          <w:marTop w:val="0"/>
                                          <w:marBottom w:val="0"/>
                                          <w:divBdr>
                                            <w:top w:val="none" w:sz="0" w:space="0" w:color="auto"/>
                                            <w:left w:val="none" w:sz="0" w:space="0" w:color="auto"/>
                                            <w:bottom w:val="none" w:sz="0" w:space="0" w:color="auto"/>
                                            <w:right w:val="none" w:sz="0" w:space="0" w:color="auto"/>
                                          </w:divBdr>
                                          <w:divsChild>
                                            <w:div w:id="2021393171">
                                              <w:marLeft w:val="0"/>
                                              <w:marRight w:val="0"/>
                                              <w:marTop w:val="0"/>
                                              <w:marBottom w:val="0"/>
                                              <w:divBdr>
                                                <w:top w:val="none" w:sz="0" w:space="0" w:color="auto"/>
                                                <w:left w:val="none" w:sz="0" w:space="0" w:color="auto"/>
                                                <w:bottom w:val="none" w:sz="0" w:space="0" w:color="auto"/>
                                                <w:right w:val="none" w:sz="0" w:space="0" w:color="auto"/>
                                              </w:divBdr>
                                              <w:divsChild>
                                                <w:div w:id="1932934585">
                                                  <w:marLeft w:val="0"/>
                                                  <w:marRight w:val="0"/>
                                                  <w:marTop w:val="0"/>
                                                  <w:marBottom w:val="0"/>
                                                  <w:divBdr>
                                                    <w:top w:val="none" w:sz="0" w:space="0" w:color="auto"/>
                                                    <w:left w:val="none" w:sz="0" w:space="0" w:color="auto"/>
                                                    <w:bottom w:val="none" w:sz="0" w:space="0" w:color="auto"/>
                                                    <w:right w:val="none" w:sz="0" w:space="0" w:color="auto"/>
                                                  </w:divBdr>
                                                  <w:divsChild>
                                                    <w:div w:id="1068066519">
                                                      <w:marLeft w:val="0"/>
                                                      <w:marRight w:val="0"/>
                                                      <w:marTop w:val="0"/>
                                                      <w:marBottom w:val="0"/>
                                                      <w:divBdr>
                                                        <w:top w:val="none" w:sz="0" w:space="0" w:color="auto"/>
                                                        <w:left w:val="none" w:sz="0" w:space="0" w:color="auto"/>
                                                        <w:bottom w:val="none" w:sz="0" w:space="0" w:color="auto"/>
                                                        <w:right w:val="none" w:sz="0" w:space="0" w:color="auto"/>
                                                      </w:divBdr>
                                                      <w:divsChild>
                                                        <w:div w:id="16733912">
                                                          <w:marLeft w:val="0"/>
                                                          <w:marRight w:val="0"/>
                                                          <w:marTop w:val="0"/>
                                                          <w:marBottom w:val="0"/>
                                                          <w:divBdr>
                                                            <w:top w:val="none" w:sz="0" w:space="0" w:color="auto"/>
                                                            <w:left w:val="none" w:sz="0" w:space="0" w:color="auto"/>
                                                            <w:bottom w:val="none" w:sz="0" w:space="0" w:color="auto"/>
                                                            <w:right w:val="none" w:sz="0" w:space="0" w:color="auto"/>
                                                          </w:divBdr>
                                                          <w:divsChild>
                                                            <w:div w:id="1416828046">
                                                              <w:marLeft w:val="0"/>
                                                              <w:marRight w:val="0"/>
                                                              <w:marTop w:val="0"/>
                                                              <w:marBottom w:val="0"/>
                                                              <w:divBdr>
                                                                <w:top w:val="none" w:sz="0" w:space="0" w:color="auto"/>
                                                                <w:left w:val="none" w:sz="0" w:space="0" w:color="auto"/>
                                                                <w:bottom w:val="none" w:sz="0" w:space="0" w:color="auto"/>
                                                                <w:right w:val="none" w:sz="0" w:space="0" w:color="auto"/>
                                                              </w:divBdr>
                                                              <w:divsChild>
                                                                <w:div w:id="1403722036">
                                                                  <w:marLeft w:val="0"/>
                                                                  <w:marRight w:val="0"/>
                                                                  <w:marTop w:val="0"/>
                                                                  <w:marBottom w:val="0"/>
                                                                  <w:divBdr>
                                                                    <w:top w:val="none" w:sz="0" w:space="0" w:color="auto"/>
                                                                    <w:left w:val="none" w:sz="0" w:space="0" w:color="auto"/>
                                                                    <w:bottom w:val="none" w:sz="0" w:space="0" w:color="auto"/>
                                                                    <w:right w:val="none" w:sz="0" w:space="0" w:color="auto"/>
                                                                  </w:divBdr>
                                                                  <w:divsChild>
                                                                    <w:div w:id="1623875339">
                                                                      <w:marLeft w:val="0"/>
                                                                      <w:marRight w:val="0"/>
                                                                      <w:marTop w:val="0"/>
                                                                      <w:marBottom w:val="240"/>
                                                                      <w:divBdr>
                                                                        <w:top w:val="none" w:sz="0" w:space="0" w:color="auto"/>
                                                                        <w:left w:val="none" w:sz="0" w:space="0" w:color="auto"/>
                                                                        <w:bottom w:val="none" w:sz="0" w:space="0" w:color="auto"/>
                                                                        <w:right w:val="none" w:sz="0" w:space="0" w:color="auto"/>
                                                                      </w:divBdr>
                                                                    </w:div>
                                                                    <w:div w:id="1141269458">
                                                                      <w:marLeft w:val="0"/>
                                                                      <w:marRight w:val="0"/>
                                                                      <w:marTop w:val="0"/>
                                                                      <w:marBottom w:val="240"/>
                                                                      <w:divBdr>
                                                                        <w:top w:val="none" w:sz="0" w:space="0" w:color="auto"/>
                                                                        <w:left w:val="none" w:sz="0" w:space="0" w:color="auto"/>
                                                                        <w:bottom w:val="none" w:sz="0" w:space="0" w:color="auto"/>
                                                                        <w:right w:val="none" w:sz="0" w:space="0" w:color="auto"/>
                                                                      </w:divBdr>
                                                                    </w:div>
                                                                    <w:div w:id="171997086">
                                                                      <w:marLeft w:val="0"/>
                                                                      <w:marRight w:val="0"/>
                                                                      <w:marTop w:val="0"/>
                                                                      <w:marBottom w:val="240"/>
                                                                      <w:divBdr>
                                                                        <w:top w:val="none" w:sz="0" w:space="0" w:color="auto"/>
                                                                        <w:left w:val="none" w:sz="0" w:space="0" w:color="auto"/>
                                                                        <w:bottom w:val="none" w:sz="0" w:space="0" w:color="auto"/>
                                                                        <w:right w:val="none" w:sz="0" w:space="0" w:color="auto"/>
                                                                      </w:divBdr>
                                                                    </w:div>
                                                                    <w:div w:id="441923486">
                                                                      <w:marLeft w:val="0"/>
                                                                      <w:marRight w:val="0"/>
                                                                      <w:marTop w:val="0"/>
                                                                      <w:marBottom w:val="240"/>
                                                                      <w:divBdr>
                                                                        <w:top w:val="none" w:sz="0" w:space="0" w:color="auto"/>
                                                                        <w:left w:val="none" w:sz="0" w:space="0" w:color="auto"/>
                                                                        <w:bottom w:val="none" w:sz="0" w:space="0" w:color="auto"/>
                                                                        <w:right w:val="none" w:sz="0" w:space="0" w:color="auto"/>
                                                                      </w:divBdr>
                                                                    </w:div>
                                                                  </w:divsChild>
                                                                </w:div>
                                                                <w:div w:id="980886249">
                                                                  <w:marLeft w:val="0"/>
                                                                  <w:marRight w:val="0"/>
                                                                  <w:marTop w:val="0"/>
                                                                  <w:marBottom w:val="0"/>
                                                                  <w:divBdr>
                                                                    <w:top w:val="none" w:sz="0" w:space="0" w:color="auto"/>
                                                                    <w:left w:val="none" w:sz="0" w:space="0" w:color="auto"/>
                                                                    <w:bottom w:val="none" w:sz="0" w:space="0" w:color="auto"/>
                                                                    <w:right w:val="none" w:sz="0" w:space="0" w:color="auto"/>
                                                                  </w:divBdr>
                                                                  <w:divsChild>
                                                                    <w:div w:id="1851991564">
                                                                      <w:marLeft w:val="0"/>
                                                                      <w:marRight w:val="0"/>
                                                                      <w:marTop w:val="0"/>
                                                                      <w:marBottom w:val="0"/>
                                                                      <w:divBdr>
                                                                        <w:top w:val="none" w:sz="0" w:space="0" w:color="auto"/>
                                                                        <w:left w:val="none" w:sz="0" w:space="0" w:color="auto"/>
                                                                        <w:bottom w:val="none" w:sz="0" w:space="0" w:color="auto"/>
                                                                        <w:right w:val="none" w:sz="0" w:space="0" w:color="auto"/>
                                                                      </w:divBdr>
                                                                      <w:divsChild>
                                                                        <w:div w:id="20171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71498">
                                                              <w:marLeft w:val="0"/>
                                                              <w:marRight w:val="0"/>
                                                              <w:marTop w:val="0"/>
                                                              <w:marBottom w:val="0"/>
                                                              <w:divBdr>
                                                                <w:top w:val="none" w:sz="0" w:space="0" w:color="auto"/>
                                                                <w:left w:val="none" w:sz="0" w:space="0" w:color="auto"/>
                                                                <w:bottom w:val="none" w:sz="0" w:space="0" w:color="auto"/>
                                                                <w:right w:val="none" w:sz="0" w:space="0" w:color="auto"/>
                                                              </w:divBdr>
                                                              <w:divsChild>
                                                                <w:div w:id="5878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344553">
                                              <w:marLeft w:val="0"/>
                                              <w:marRight w:val="0"/>
                                              <w:marTop w:val="0"/>
                                              <w:marBottom w:val="0"/>
                                              <w:divBdr>
                                                <w:top w:val="none" w:sz="0" w:space="0" w:color="auto"/>
                                                <w:left w:val="none" w:sz="0" w:space="0" w:color="auto"/>
                                                <w:bottom w:val="none" w:sz="0" w:space="0" w:color="auto"/>
                                                <w:right w:val="none" w:sz="0" w:space="0" w:color="auto"/>
                                              </w:divBdr>
                                            </w:div>
                                            <w:div w:id="500658222">
                                              <w:marLeft w:val="0"/>
                                              <w:marRight w:val="0"/>
                                              <w:marTop w:val="0"/>
                                              <w:marBottom w:val="0"/>
                                              <w:divBdr>
                                                <w:top w:val="none" w:sz="0" w:space="0" w:color="auto"/>
                                                <w:left w:val="none" w:sz="0" w:space="0" w:color="auto"/>
                                                <w:bottom w:val="none" w:sz="0" w:space="0" w:color="auto"/>
                                                <w:right w:val="none" w:sz="0" w:space="0" w:color="auto"/>
                                              </w:divBdr>
                                              <w:divsChild>
                                                <w:div w:id="20742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363578">
                              <w:marLeft w:val="0"/>
                              <w:marRight w:val="0"/>
                              <w:marTop w:val="0"/>
                              <w:marBottom w:val="0"/>
                              <w:divBdr>
                                <w:top w:val="none" w:sz="0" w:space="0" w:color="auto"/>
                                <w:left w:val="none" w:sz="0" w:space="0" w:color="auto"/>
                                <w:bottom w:val="none" w:sz="0" w:space="0" w:color="auto"/>
                                <w:right w:val="none" w:sz="0" w:space="0" w:color="auto"/>
                              </w:divBdr>
                              <w:divsChild>
                                <w:div w:id="2023973442">
                                  <w:marLeft w:val="0"/>
                                  <w:marRight w:val="0"/>
                                  <w:marTop w:val="0"/>
                                  <w:marBottom w:val="0"/>
                                  <w:divBdr>
                                    <w:top w:val="none" w:sz="0" w:space="0" w:color="auto"/>
                                    <w:left w:val="none" w:sz="0" w:space="0" w:color="auto"/>
                                    <w:bottom w:val="none" w:sz="0" w:space="0" w:color="auto"/>
                                    <w:right w:val="none" w:sz="0" w:space="0" w:color="auto"/>
                                  </w:divBdr>
                                  <w:divsChild>
                                    <w:div w:id="1852644644">
                                      <w:marLeft w:val="0"/>
                                      <w:marRight w:val="0"/>
                                      <w:marTop w:val="0"/>
                                      <w:marBottom w:val="0"/>
                                      <w:divBdr>
                                        <w:top w:val="none" w:sz="0" w:space="0" w:color="auto"/>
                                        <w:left w:val="none" w:sz="0" w:space="0" w:color="auto"/>
                                        <w:bottom w:val="none" w:sz="0" w:space="0" w:color="auto"/>
                                        <w:right w:val="none" w:sz="0" w:space="0" w:color="auto"/>
                                      </w:divBdr>
                                      <w:divsChild>
                                        <w:div w:id="1067847738">
                                          <w:marLeft w:val="0"/>
                                          <w:marRight w:val="0"/>
                                          <w:marTop w:val="0"/>
                                          <w:marBottom w:val="0"/>
                                          <w:divBdr>
                                            <w:top w:val="none" w:sz="0" w:space="0" w:color="auto"/>
                                            <w:left w:val="none" w:sz="0" w:space="0" w:color="auto"/>
                                            <w:bottom w:val="none" w:sz="0" w:space="0" w:color="auto"/>
                                            <w:right w:val="none" w:sz="0" w:space="0" w:color="auto"/>
                                          </w:divBdr>
                                          <w:divsChild>
                                            <w:div w:id="186142300">
                                              <w:marLeft w:val="0"/>
                                              <w:marRight w:val="0"/>
                                              <w:marTop w:val="0"/>
                                              <w:marBottom w:val="0"/>
                                              <w:divBdr>
                                                <w:top w:val="none" w:sz="0" w:space="0" w:color="auto"/>
                                                <w:left w:val="none" w:sz="0" w:space="0" w:color="auto"/>
                                                <w:bottom w:val="none" w:sz="0" w:space="0" w:color="auto"/>
                                                <w:right w:val="none" w:sz="0" w:space="0" w:color="auto"/>
                                              </w:divBdr>
                                            </w:div>
                                          </w:divsChild>
                                        </w:div>
                                        <w:div w:id="851336361">
                                          <w:marLeft w:val="0"/>
                                          <w:marRight w:val="0"/>
                                          <w:marTop w:val="0"/>
                                          <w:marBottom w:val="0"/>
                                          <w:divBdr>
                                            <w:top w:val="none" w:sz="0" w:space="0" w:color="auto"/>
                                            <w:left w:val="none" w:sz="0" w:space="0" w:color="auto"/>
                                            <w:bottom w:val="none" w:sz="0" w:space="0" w:color="auto"/>
                                            <w:right w:val="none" w:sz="0" w:space="0" w:color="auto"/>
                                          </w:divBdr>
                                          <w:divsChild>
                                            <w:div w:id="1414936598">
                                              <w:marLeft w:val="0"/>
                                              <w:marRight w:val="0"/>
                                              <w:marTop w:val="0"/>
                                              <w:marBottom w:val="0"/>
                                              <w:divBdr>
                                                <w:top w:val="none" w:sz="0" w:space="0" w:color="auto"/>
                                                <w:left w:val="none" w:sz="0" w:space="0" w:color="auto"/>
                                                <w:bottom w:val="none" w:sz="0" w:space="0" w:color="auto"/>
                                                <w:right w:val="none" w:sz="0" w:space="0" w:color="auto"/>
                                              </w:divBdr>
                                              <w:divsChild>
                                                <w:div w:id="117577705">
                                                  <w:marLeft w:val="0"/>
                                                  <w:marRight w:val="0"/>
                                                  <w:marTop w:val="0"/>
                                                  <w:marBottom w:val="0"/>
                                                  <w:divBdr>
                                                    <w:top w:val="none" w:sz="0" w:space="0" w:color="auto"/>
                                                    <w:left w:val="none" w:sz="0" w:space="0" w:color="auto"/>
                                                    <w:bottom w:val="none" w:sz="0" w:space="0" w:color="auto"/>
                                                    <w:right w:val="none" w:sz="0" w:space="0" w:color="auto"/>
                                                  </w:divBdr>
                                                  <w:divsChild>
                                                    <w:div w:id="12040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5547293">
          <w:marLeft w:val="0"/>
          <w:marRight w:val="0"/>
          <w:marTop w:val="0"/>
          <w:marBottom w:val="0"/>
          <w:divBdr>
            <w:top w:val="none" w:sz="0" w:space="0" w:color="auto"/>
            <w:left w:val="none" w:sz="0" w:space="0" w:color="auto"/>
            <w:bottom w:val="none" w:sz="0" w:space="0" w:color="auto"/>
            <w:right w:val="none" w:sz="0" w:space="0" w:color="auto"/>
          </w:divBdr>
          <w:divsChild>
            <w:div w:id="1209759971">
              <w:marLeft w:val="0"/>
              <w:marRight w:val="0"/>
              <w:marTop w:val="0"/>
              <w:marBottom w:val="0"/>
              <w:divBdr>
                <w:top w:val="none" w:sz="0" w:space="0" w:color="auto"/>
                <w:left w:val="none" w:sz="0" w:space="0" w:color="auto"/>
                <w:bottom w:val="none" w:sz="0" w:space="0" w:color="auto"/>
                <w:right w:val="none" w:sz="0" w:space="0" w:color="auto"/>
              </w:divBdr>
              <w:divsChild>
                <w:div w:id="435103899">
                  <w:marLeft w:val="0"/>
                  <w:marRight w:val="0"/>
                  <w:marTop w:val="0"/>
                  <w:marBottom w:val="0"/>
                  <w:divBdr>
                    <w:top w:val="none" w:sz="0" w:space="0" w:color="auto"/>
                    <w:left w:val="none" w:sz="0" w:space="0" w:color="auto"/>
                    <w:bottom w:val="none" w:sz="0" w:space="0" w:color="auto"/>
                    <w:right w:val="none" w:sz="0" w:space="0" w:color="auto"/>
                  </w:divBdr>
                  <w:divsChild>
                    <w:div w:id="2077510735">
                      <w:marLeft w:val="0"/>
                      <w:marRight w:val="0"/>
                      <w:marTop w:val="0"/>
                      <w:marBottom w:val="0"/>
                      <w:divBdr>
                        <w:top w:val="none" w:sz="0" w:space="0" w:color="auto"/>
                        <w:left w:val="none" w:sz="0" w:space="0" w:color="auto"/>
                        <w:bottom w:val="none" w:sz="0" w:space="0" w:color="auto"/>
                        <w:right w:val="none" w:sz="0" w:space="0" w:color="auto"/>
                      </w:divBdr>
                      <w:divsChild>
                        <w:div w:id="14159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3732</Words>
  <Characters>20528</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4</cp:revision>
  <dcterms:created xsi:type="dcterms:W3CDTF">2021-04-04T18:06:00Z</dcterms:created>
  <dcterms:modified xsi:type="dcterms:W3CDTF">2021-05-03T05:58:00Z</dcterms:modified>
</cp:coreProperties>
</file>