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8A" w:rsidRDefault="00AC6D8A" w:rsidP="00AC6D8A">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الثانية: البراديغم والمدرسة في  مجال الاعلام والاتصال: </w:t>
      </w:r>
    </w:p>
    <w:p w:rsidR="00AC6D8A" w:rsidRPr="00356A2D" w:rsidRDefault="00AC6D8A" w:rsidP="00AC6D8A">
      <w:pPr>
        <w:pStyle w:val="Paragraphedeliste"/>
        <w:numPr>
          <w:ilvl w:val="0"/>
          <w:numId w:val="1"/>
        </w:numPr>
        <w:bidi/>
        <w:jc w:val="lowKashida"/>
        <w:rPr>
          <w:rFonts w:ascii="Simplified Arabic" w:hAnsi="Simplified Arabic" w:cs="Simplified Arabic"/>
          <w:b/>
          <w:bCs/>
          <w:sz w:val="28"/>
          <w:szCs w:val="28"/>
          <w:rtl/>
          <w:lang w:bidi="ar-DZ"/>
        </w:rPr>
      </w:pPr>
      <w:r w:rsidRPr="00356A2D">
        <w:rPr>
          <w:rFonts w:ascii="Simplified Arabic" w:hAnsi="Simplified Arabic" w:cs="Simplified Arabic" w:hint="cs"/>
          <w:b/>
          <w:bCs/>
          <w:sz w:val="28"/>
          <w:szCs w:val="28"/>
          <w:rtl/>
          <w:lang w:bidi="ar-DZ"/>
        </w:rPr>
        <w:t xml:space="preserve"> ماهو البراديغم؟</w:t>
      </w:r>
    </w:p>
    <w:p w:rsidR="00AC6D8A" w:rsidRDefault="00AC6D8A" w:rsidP="00AC6D8A">
      <w:pPr>
        <w:bidi/>
        <w:jc w:val="lowKashida"/>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ab/>
      </w:r>
      <w:r>
        <w:rPr>
          <w:rFonts w:ascii="Simplified Arabic" w:hAnsi="Simplified Arabic" w:cs="Simplified Arabic" w:hint="cs"/>
          <w:sz w:val="28"/>
          <w:szCs w:val="28"/>
          <w:rtl/>
          <w:lang w:bidi="ar-DZ"/>
        </w:rPr>
        <w:t>يقول أرمان وميشال ماتلار أن "كل نظرية تنبع من نموذج نظري جامع (براديغم</w:t>
      </w:r>
      <w:r>
        <w:rPr>
          <w:rFonts w:ascii="Simplified Arabic" w:hAnsi="Simplified Arabic" w:cs="Simplified Arabic"/>
          <w:sz w:val="28"/>
          <w:szCs w:val="28"/>
          <w:lang w:bidi="ar-DZ"/>
        </w:rPr>
        <w:t>paradigm</w:t>
      </w:r>
      <w:r>
        <w:rPr>
          <w:rFonts w:ascii="Simplified Arabic" w:hAnsi="Simplified Arabic" w:cs="Simplified Arabic" w:hint="cs"/>
          <w:sz w:val="28"/>
          <w:szCs w:val="28"/>
          <w:rtl/>
          <w:lang w:bidi="ar-DZ"/>
        </w:rPr>
        <w:t xml:space="preserve"> ) يلخص تصورا فكريا معينا لمسألة الاتصال وصيرورتها خلال مرحلة تاريخية بعينها." فتواصل بعض نظريات الاتصال وترابطها، نابعان من كونها قد خرجت من رحم فكري واحد والاختلاف بين بعضها يعود إلى تباين النماذج النظرية التي استلهمتها، والاشكاليات التي تسعى لمعالجتها. فما هو النموذج النظري أو البراديغم؟</w:t>
      </w:r>
    </w:p>
    <w:p w:rsidR="00AC6D8A" w:rsidRPr="00356A2D" w:rsidRDefault="00AC6D8A" w:rsidP="00AC6D8A">
      <w:pPr>
        <w:pStyle w:val="Paragraphedeliste"/>
        <w:numPr>
          <w:ilvl w:val="0"/>
          <w:numId w:val="2"/>
        </w:num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356A2D">
        <w:rPr>
          <w:rFonts w:ascii="Simplified Arabic" w:hAnsi="Simplified Arabic" w:cs="Simplified Arabic" w:hint="cs"/>
          <w:b/>
          <w:bCs/>
          <w:sz w:val="28"/>
          <w:szCs w:val="28"/>
          <w:rtl/>
          <w:lang w:bidi="ar-DZ"/>
        </w:rPr>
        <w:t xml:space="preserve"> تعريف البراديغم:</w:t>
      </w:r>
    </w:p>
    <w:p w:rsidR="00AC6D8A" w:rsidRDefault="00AC6D8A" w:rsidP="00AC6D8A">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البراديغم </w:t>
      </w:r>
      <w:r>
        <w:rPr>
          <w:rFonts w:ascii="Simplified Arabic" w:hAnsi="Simplified Arabic" w:cs="Simplified Arabic"/>
          <w:sz w:val="28"/>
          <w:szCs w:val="28"/>
          <w:lang w:bidi="ar-DZ"/>
        </w:rPr>
        <w:t>paradigm</w:t>
      </w:r>
      <w:r>
        <w:rPr>
          <w:rFonts w:ascii="Simplified Arabic" w:hAnsi="Simplified Arabic" w:cs="Simplified Arabic" w:hint="cs"/>
          <w:sz w:val="28"/>
          <w:szCs w:val="28"/>
          <w:rtl/>
          <w:lang w:bidi="ar-DZ"/>
        </w:rPr>
        <w:t xml:space="preserve"> أو البراديم، كلمة ماخوذة من الأصل اليوناني </w:t>
      </w:r>
      <w:r>
        <w:rPr>
          <w:rFonts w:ascii="Simplified Arabic" w:hAnsi="Simplified Arabic" w:cs="Simplified Arabic"/>
          <w:sz w:val="28"/>
          <w:szCs w:val="28"/>
          <w:lang w:bidi="ar-DZ"/>
        </w:rPr>
        <w:t>paradeigma</w:t>
      </w:r>
      <w:r>
        <w:rPr>
          <w:rFonts w:ascii="Simplified Arabic" w:hAnsi="Simplified Arabic" w:cs="Simplified Arabic" w:hint="cs"/>
          <w:sz w:val="28"/>
          <w:szCs w:val="28"/>
          <w:rtl/>
          <w:lang w:bidi="ar-DZ"/>
        </w:rPr>
        <w:t xml:space="preserve"> وتعني مثالا أو نموذجا </w:t>
      </w:r>
      <w:r>
        <w:rPr>
          <w:rFonts w:ascii="Simplified Arabic" w:hAnsi="Simplified Arabic" w:cs="Simplified Arabic"/>
          <w:sz w:val="28"/>
          <w:szCs w:val="28"/>
          <w:lang w:bidi="ar-DZ"/>
        </w:rPr>
        <w:t>pattern</w:t>
      </w:r>
      <w:r>
        <w:rPr>
          <w:rFonts w:ascii="Simplified Arabic" w:hAnsi="Simplified Arabic" w:cs="Simplified Arabic" w:hint="cs"/>
          <w:sz w:val="28"/>
          <w:szCs w:val="28"/>
          <w:rtl/>
          <w:lang w:bidi="ar-DZ"/>
        </w:rPr>
        <w:t xml:space="preserve">. والمقصود بالبراديم النموذج المعرفي الارشادي في العصر المعني، وبما أنه في عصر معيّن، فهو إذن راهن ومؤقت ومتغير. </w:t>
      </w:r>
    </w:p>
    <w:p w:rsidR="00AC6D8A" w:rsidRDefault="00AC6D8A" w:rsidP="00AC6D8A">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والبراديغم يعيد معنى المثال أو النمط ولغويا هو أسلوب أو طريقة طراز، نوع، صنف. </w:t>
      </w:r>
    </w:p>
    <w:p w:rsidR="00AC6D8A" w:rsidRDefault="00AC6D8A" w:rsidP="00AC6D8A">
      <w:pPr>
        <w:bidi/>
        <w:ind w:firstLine="708"/>
        <w:jc w:val="lowKashida"/>
        <w:rPr>
          <w:rFonts w:ascii="Simplified Arabic" w:hAnsi="Simplified Arabic" w:cs="Simplified Arabic"/>
          <w:sz w:val="28"/>
          <w:szCs w:val="28"/>
          <w:rtl/>
          <w:lang w:bidi="ar-DZ"/>
        </w:rPr>
      </w:pPr>
      <w:r w:rsidRPr="00A34C32">
        <w:rPr>
          <w:rFonts w:ascii="Simplified Arabic" w:hAnsi="Simplified Arabic" w:cs="Simplified Arabic"/>
          <w:sz w:val="28"/>
          <w:szCs w:val="28"/>
          <w:rtl/>
          <w:lang w:bidi="ar-DZ"/>
        </w:rPr>
        <w:t>يستعمل</w:t>
      </w:r>
      <w:r>
        <w:rPr>
          <w:rFonts w:ascii="Simplified Arabic" w:hAnsi="Simplified Arabic" w:cs="Simplified Arabic" w:hint="cs"/>
          <w:sz w:val="28"/>
          <w:szCs w:val="28"/>
          <w:rtl/>
          <w:lang w:bidi="ar-DZ"/>
        </w:rPr>
        <w:t xml:space="preserve"> كوهن </w:t>
      </w:r>
      <w:r w:rsidRPr="00A34C32">
        <w:rPr>
          <w:rFonts w:ascii="Simplified Arabic" w:hAnsi="Simplified Arabic" w:cs="Simplified Arabic"/>
          <w:sz w:val="28"/>
          <w:szCs w:val="28"/>
          <w:lang w:bidi="ar-DZ"/>
        </w:rPr>
        <w:t>Kuhn</w:t>
      </w:r>
      <w:r>
        <w:rPr>
          <w:rStyle w:val="Appelnotedebasdep"/>
          <w:rFonts w:ascii="Simplified Arabic" w:hAnsi="Simplified Arabic" w:cs="Simplified Arabic"/>
          <w:sz w:val="28"/>
          <w:szCs w:val="28"/>
          <w:lang w:bidi="ar-DZ"/>
        </w:rPr>
        <w:footnoteReference w:id="2"/>
      </w:r>
      <w:r w:rsidRPr="00A34C32">
        <w:rPr>
          <w:rFonts w:ascii="Simplified Arabic" w:hAnsi="Simplified Arabic" w:cs="Simplified Arabic"/>
          <w:sz w:val="28"/>
          <w:szCs w:val="28"/>
          <w:rtl/>
          <w:lang w:bidi="ar-DZ"/>
        </w:rPr>
        <w:t xml:space="preserve"> مصطلح نموذج </w:t>
      </w:r>
      <w:r w:rsidRPr="00A34C32">
        <w:rPr>
          <w:rFonts w:ascii="Simplified Arabic" w:hAnsi="Simplified Arabic" w:cs="Simplified Arabic"/>
          <w:sz w:val="28"/>
          <w:szCs w:val="28"/>
          <w:lang w:bidi="ar-DZ"/>
        </w:rPr>
        <w:t>paradigm</w:t>
      </w:r>
      <w:r w:rsidRPr="00A34C32">
        <w:rPr>
          <w:rFonts w:ascii="Simplified Arabic" w:hAnsi="Simplified Arabic" w:cs="Simplified Arabic"/>
          <w:sz w:val="28"/>
          <w:szCs w:val="28"/>
          <w:rtl/>
          <w:lang w:bidi="ar-DZ"/>
        </w:rPr>
        <w:t xml:space="preserve"> للتعبير عن وجهة النظر المشتركة بين مجموعة من العلماء. </w:t>
      </w:r>
      <w:r>
        <w:rPr>
          <w:rFonts w:ascii="Simplified Arabic" w:hAnsi="Simplified Arabic" w:cs="Simplified Arabic" w:hint="cs"/>
          <w:sz w:val="28"/>
          <w:szCs w:val="28"/>
          <w:rtl/>
          <w:lang w:bidi="ar-DZ"/>
        </w:rPr>
        <w:t xml:space="preserve">وعليه فإن </w:t>
      </w:r>
      <w:r w:rsidRPr="00A34C32">
        <w:rPr>
          <w:rFonts w:ascii="Simplified Arabic" w:hAnsi="Simplified Arabic" w:cs="Simplified Arabic"/>
          <w:sz w:val="28"/>
          <w:szCs w:val="28"/>
          <w:rtl/>
          <w:lang w:bidi="ar-DZ"/>
        </w:rPr>
        <w:t>النموذج =</w:t>
      </w:r>
      <w:r>
        <w:rPr>
          <w:rFonts w:ascii="Simplified Arabic" w:hAnsi="Simplified Arabic" w:cs="Simplified Arabic" w:hint="cs"/>
          <w:sz w:val="28"/>
          <w:szCs w:val="28"/>
          <w:rtl/>
          <w:lang w:bidi="ar-DZ"/>
        </w:rPr>
        <w:t xml:space="preserve"> (يساوي)</w:t>
      </w:r>
      <w:r w:rsidRPr="00A34C32">
        <w:rPr>
          <w:rFonts w:ascii="Simplified Arabic" w:hAnsi="Simplified Arabic" w:cs="Simplified Arabic"/>
          <w:sz w:val="28"/>
          <w:szCs w:val="28"/>
          <w:rtl/>
          <w:lang w:bidi="ar-DZ"/>
        </w:rPr>
        <w:t xml:space="preserve"> المدرسة أي أن النموذج</w:t>
      </w:r>
      <w:r>
        <w:rPr>
          <w:rFonts w:ascii="Simplified Arabic" w:hAnsi="Simplified Arabic" w:cs="Simplified Arabic" w:hint="cs"/>
          <w:sz w:val="28"/>
          <w:szCs w:val="28"/>
          <w:rtl/>
          <w:lang w:bidi="ar-DZ"/>
        </w:rPr>
        <w:t>/ البراديغم</w:t>
      </w:r>
      <w:r w:rsidRPr="00A34C32">
        <w:rPr>
          <w:rFonts w:ascii="Simplified Arabic" w:hAnsi="Simplified Arabic" w:cs="Simplified Arabic"/>
          <w:sz w:val="28"/>
          <w:szCs w:val="28"/>
          <w:rtl/>
          <w:lang w:bidi="ar-DZ"/>
        </w:rPr>
        <w:t xml:space="preserve"> يشمل مجموعة من النظريات.</w:t>
      </w:r>
    </w:p>
    <w:p w:rsidR="00AC6D8A" w:rsidRDefault="00AC6D8A" w:rsidP="00AC6D8A">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فالبراديغم هو مجموع التوجهات والاتجاهات والمواضيع والمناهج التي يعتقد مجموعة من الباحثين على أنها الصالحة وهو التعريف الاقرب للمدرسة.</w:t>
      </w:r>
    </w:p>
    <w:p w:rsidR="00AC6D8A" w:rsidRPr="00356A2D" w:rsidRDefault="00AC6D8A" w:rsidP="00AC6D8A">
      <w:pPr>
        <w:pStyle w:val="Paragraphedeliste"/>
        <w:numPr>
          <w:ilvl w:val="0"/>
          <w:numId w:val="3"/>
        </w:num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Pr="00356A2D">
        <w:rPr>
          <w:rFonts w:ascii="Simplified Arabic" w:hAnsi="Simplified Arabic" w:cs="Simplified Arabic" w:hint="cs"/>
          <w:b/>
          <w:bCs/>
          <w:sz w:val="28"/>
          <w:szCs w:val="28"/>
          <w:rtl/>
          <w:lang w:bidi="ar-DZ"/>
        </w:rPr>
        <w:t xml:space="preserve"> تعريف المدرسة:</w:t>
      </w:r>
    </w:p>
    <w:p w:rsidR="00AC6D8A" w:rsidRDefault="00AC6D8A" w:rsidP="00AC6D8A">
      <w:pPr>
        <w:bidi/>
        <w:ind w:firstLine="708"/>
        <w:jc w:val="lowKashida"/>
        <w:rPr>
          <w:rFonts w:ascii="Simplified Arabic" w:hAnsi="Simplified Arabic" w:cs="Simplified Arabic"/>
          <w:sz w:val="28"/>
          <w:szCs w:val="28"/>
          <w:rtl/>
          <w:lang w:bidi="ar-DZ"/>
        </w:rPr>
      </w:pPr>
      <w:r w:rsidRPr="00CB4FA2">
        <w:rPr>
          <w:rFonts w:ascii="Simplified Arabic" w:hAnsi="Simplified Arabic" w:cs="Simplified Arabic" w:hint="cs"/>
          <w:sz w:val="28"/>
          <w:szCs w:val="28"/>
          <w:rtl/>
          <w:lang w:bidi="ar-DZ"/>
        </w:rPr>
        <w:t>وتعرف</w:t>
      </w:r>
      <w:r>
        <w:rPr>
          <w:rFonts w:ascii="Simplified Arabic" w:hAnsi="Simplified Arabic" w:cs="Simplified Arabic" w:hint="cs"/>
          <w:sz w:val="28"/>
          <w:szCs w:val="28"/>
          <w:rtl/>
          <w:lang w:bidi="ar-DZ"/>
        </w:rPr>
        <w:t xml:space="preserve"> </w:t>
      </w:r>
      <w:r>
        <w:rPr>
          <w:rFonts w:ascii="Simplified Arabic" w:hAnsi="Simplified Arabic" w:cs="Simplified Arabic"/>
          <w:b/>
          <w:bCs/>
          <w:sz w:val="28"/>
          <w:szCs w:val="28"/>
          <w:rtl/>
          <w:lang w:bidi="ar-DZ"/>
        </w:rPr>
        <w:t>المدرسة</w:t>
      </w:r>
      <w:r>
        <w:rPr>
          <w:rFonts w:ascii="Simplified Arabic" w:hAnsi="Simplified Arabic" w:cs="Simplified Arabic" w:hint="cs"/>
          <w:b/>
          <w:bCs/>
          <w:sz w:val="28"/>
          <w:szCs w:val="28"/>
          <w:rtl/>
          <w:lang w:bidi="ar-DZ"/>
        </w:rPr>
        <w:t xml:space="preserve"> </w:t>
      </w:r>
      <w:r w:rsidRPr="00CB4FA2">
        <w:rPr>
          <w:rFonts w:ascii="Simplified Arabic" w:hAnsi="Simplified Arabic" w:cs="Simplified Arabic" w:hint="cs"/>
          <w:sz w:val="28"/>
          <w:szCs w:val="28"/>
          <w:rtl/>
          <w:lang w:bidi="ar-DZ"/>
        </w:rPr>
        <w:t>على أنها</w:t>
      </w:r>
      <w:r>
        <w:rPr>
          <w:rFonts w:ascii="Simplified Arabic" w:hAnsi="Simplified Arabic" w:cs="Simplified Arabic" w:hint="cs"/>
          <w:sz w:val="28"/>
          <w:szCs w:val="28"/>
          <w:rtl/>
          <w:lang w:bidi="ar-DZ"/>
        </w:rPr>
        <w:t>:</w:t>
      </w:r>
      <w:r w:rsidRPr="00A34C32">
        <w:rPr>
          <w:rFonts w:ascii="Simplified Arabic" w:hAnsi="Simplified Arabic" w:cs="Simplified Arabic"/>
          <w:sz w:val="28"/>
          <w:szCs w:val="28"/>
          <w:rtl/>
          <w:lang w:bidi="ar-DZ"/>
        </w:rPr>
        <w:t xml:space="preserve"> كل الاتجاهات الفرعية (النظرية) التي تشترك في الايمان بمجموعة من المسلمات أو الفرضيات الأساسية في تغيير الشخصية والسلوك الإنساني. ويرى كابلن </w:t>
      </w:r>
      <w:r w:rsidRPr="00A34C32">
        <w:rPr>
          <w:rFonts w:ascii="Simplified Arabic" w:hAnsi="Simplified Arabic" w:cs="Simplified Arabic"/>
          <w:sz w:val="28"/>
          <w:szCs w:val="28"/>
          <w:lang w:bidi="ar-DZ"/>
        </w:rPr>
        <w:t>Chaplin</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أن: "</w:t>
      </w:r>
      <w:r w:rsidRPr="00A34C32">
        <w:rPr>
          <w:rFonts w:ascii="Simplified Arabic" w:hAnsi="Simplified Arabic" w:cs="Simplified Arabic"/>
          <w:sz w:val="28"/>
          <w:szCs w:val="28"/>
          <w:rtl/>
          <w:lang w:bidi="ar-DZ"/>
        </w:rPr>
        <w:t>المدرسة تضم مجموعة من العلماء الذين يشتركون في اهتماماتهم."</w:t>
      </w:r>
      <w:r>
        <w:rPr>
          <w:rFonts w:ascii="Simplified Arabic" w:hAnsi="Simplified Arabic" w:cs="Simplified Arabic" w:hint="cs"/>
          <w:sz w:val="28"/>
          <w:szCs w:val="28"/>
          <w:rtl/>
          <w:lang w:bidi="ar-DZ"/>
        </w:rPr>
        <w:t xml:space="preserve"> </w:t>
      </w:r>
    </w:p>
    <w:p w:rsidR="00AC6D8A" w:rsidRDefault="00AC6D8A" w:rsidP="00AC6D8A">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وهناك من يعرفها كالآتي: هي مجموع الباحثين والمنظرين الذين يشعرون بأنهم معنيون بظاهرة معينة والذين يشتركون في أربعة عناصر أساسية: </w:t>
      </w:r>
    </w:p>
    <w:p w:rsidR="00AC6D8A" w:rsidRDefault="00AC6D8A" w:rsidP="00AC6D8A">
      <w:pPr>
        <w:bidi/>
        <w:ind w:firstLine="708"/>
        <w:jc w:val="lowKashida"/>
        <w:rPr>
          <w:rFonts w:ascii="Simplified Arabic" w:hAnsi="Simplified Arabic" w:cs="Simplified Arabic"/>
          <w:sz w:val="28"/>
          <w:szCs w:val="28"/>
          <w:rtl/>
          <w:lang w:bidi="ar-DZ"/>
        </w:rPr>
      </w:pPr>
      <w:r w:rsidRPr="00BE45E3">
        <w:rPr>
          <w:rFonts w:ascii="Simplified Arabic" w:hAnsi="Simplified Arabic" w:cs="Simplified Arabic" w:hint="cs"/>
          <w:sz w:val="28"/>
          <w:szCs w:val="28"/>
          <w:u w:val="single"/>
          <w:rtl/>
          <w:lang w:bidi="ar-DZ"/>
        </w:rPr>
        <w:lastRenderedPageBreak/>
        <w:t>-تعريف مشترك للظاهرة</w:t>
      </w:r>
      <w:r>
        <w:rPr>
          <w:rFonts w:ascii="Simplified Arabic" w:hAnsi="Simplified Arabic" w:cs="Simplified Arabic" w:hint="cs"/>
          <w:sz w:val="28"/>
          <w:szCs w:val="28"/>
          <w:rtl/>
          <w:lang w:bidi="ar-DZ"/>
        </w:rPr>
        <w:t>: أي أن يتقاسم الباحثون ويشتركون في موضوع الدراسة، مثلا أن الباحثين من المدرسة الاتصالية نفسها عليهم الاتفاق المشترك حول معنى الاتصال.</w:t>
      </w:r>
    </w:p>
    <w:p w:rsidR="00AC6D8A" w:rsidRDefault="00AC6D8A" w:rsidP="00AC6D8A">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E45E3">
        <w:rPr>
          <w:rFonts w:ascii="Simplified Arabic" w:hAnsi="Simplified Arabic" w:cs="Simplified Arabic" w:hint="cs"/>
          <w:sz w:val="28"/>
          <w:szCs w:val="28"/>
          <w:u w:val="single"/>
          <w:rtl/>
          <w:lang w:bidi="ar-DZ"/>
        </w:rPr>
        <w:t>تحديد مشترك للمشاكل التي يجب حلها:</w:t>
      </w:r>
      <w:r>
        <w:rPr>
          <w:rFonts w:ascii="Simplified Arabic" w:hAnsi="Simplified Arabic" w:cs="Simplified Arabic" w:hint="cs"/>
          <w:sz w:val="28"/>
          <w:szCs w:val="28"/>
          <w:rtl/>
          <w:lang w:bidi="ar-DZ"/>
        </w:rPr>
        <w:t xml:space="preserve"> أي الاتفاق على تحديد اشكالية محددة، وهذا لا يعني الاتفاق على معالجة واحدة للإشكالية.</w:t>
      </w:r>
    </w:p>
    <w:p w:rsidR="00AC6D8A" w:rsidRDefault="00AC6D8A" w:rsidP="00AC6D8A">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E45E3">
        <w:rPr>
          <w:rFonts w:ascii="Simplified Arabic" w:hAnsi="Simplified Arabic" w:cs="Simplified Arabic" w:hint="cs"/>
          <w:sz w:val="28"/>
          <w:szCs w:val="28"/>
          <w:u w:val="single"/>
          <w:rtl/>
          <w:lang w:bidi="ar-DZ"/>
        </w:rPr>
        <w:t xml:space="preserve">تحديد مشترك للتقنيات والمناهج والاستراتيجيات الملائمة لحل هذه المشاكل، </w:t>
      </w:r>
      <w:r>
        <w:rPr>
          <w:rFonts w:ascii="Simplified Arabic" w:hAnsi="Simplified Arabic" w:cs="Simplified Arabic" w:hint="cs"/>
          <w:sz w:val="28"/>
          <w:szCs w:val="28"/>
          <w:rtl/>
          <w:lang w:bidi="ar-DZ"/>
        </w:rPr>
        <w:t>بحيث يمكن الاتفاق على المشكلة، والتعريف المنهجي الذي يؤدي إلى حل المشكلة.</w:t>
      </w:r>
    </w:p>
    <w:p w:rsidR="00B236A6" w:rsidRDefault="00AC6D8A" w:rsidP="00E500DB">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E45E3">
        <w:rPr>
          <w:rFonts w:ascii="Simplified Arabic" w:hAnsi="Simplified Arabic" w:cs="Simplified Arabic" w:hint="cs"/>
          <w:sz w:val="28"/>
          <w:szCs w:val="28"/>
          <w:u w:val="single"/>
          <w:rtl/>
          <w:lang w:bidi="ar-DZ"/>
        </w:rPr>
        <w:t>مكان مؤسساتي مشترك</w:t>
      </w:r>
      <w:r>
        <w:rPr>
          <w:rFonts w:ascii="Simplified Arabic" w:hAnsi="Simplified Arabic" w:cs="Simplified Arabic" w:hint="cs"/>
          <w:sz w:val="28"/>
          <w:szCs w:val="28"/>
          <w:rtl/>
          <w:lang w:bidi="ar-DZ"/>
        </w:rPr>
        <w:t>: غالبا ما يكون المكان المؤسساتي للمدرسة معنويا.</w:t>
      </w:r>
    </w:p>
    <w:p w:rsidR="00E500DB" w:rsidRDefault="00E500DB" w:rsidP="00E500DB">
      <w:pPr>
        <w:bidi/>
        <w:ind w:firstLine="708"/>
        <w:jc w:val="lowKashida"/>
        <w:rPr>
          <w:rFonts w:ascii="Simplified Arabic" w:hAnsi="Simplified Arabic" w:cs="Simplified Arabic"/>
          <w:sz w:val="28"/>
          <w:szCs w:val="28"/>
          <w:rtl/>
          <w:lang w:bidi="ar-DZ"/>
        </w:rPr>
      </w:pPr>
    </w:p>
    <w:p w:rsidR="00E500DB" w:rsidRPr="00E500DB" w:rsidRDefault="008A230C" w:rsidP="008A230C">
      <w:pPr>
        <w:bidi/>
        <w:ind w:firstLine="708"/>
        <w:jc w:val="lowKashida"/>
        <w:rPr>
          <w:rFonts w:ascii="Simplified Arabic" w:hAnsi="Simplified Arabic" w:cs="Simplified Arabic"/>
          <w:sz w:val="28"/>
          <w:szCs w:val="28"/>
          <w:lang w:bidi="ar-DZ"/>
        </w:rPr>
      </w:pPr>
      <w:r w:rsidRPr="008A230C">
        <w:rPr>
          <w:rFonts w:ascii="Simplified Arabic" w:hAnsi="Simplified Arabic" w:cs="Simplified Arabic" w:hint="cs"/>
          <w:sz w:val="28"/>
          <w:szCs w:val="28"/>
          <w:rtl/>
          <w:lang w:bidi="ar-DZ"/>
        </w:rPr>
        <w:t>أما</w:t>
      </w:r>
      <w:r>
        <w:rPr>
          <w:rFonts w:ascii="Simplified Arabic" w:hAnsi="Simplified Arabic" w:cs="Simplified Arabic" w:hint="cs"/>
          <w:b/>
          <w:bCs/>
          <w:sz w:val="28"/>
          <w:szCs w:val="28"/>
          <w:rtl/>
          <w:lang w:bidi="ar-DZ"/>
        </w:rPr>
        <w:t xml:space="preserve"> </w:t>
      </w:r>
      <w:r w:rsidR="00E500DB" w:rsidRPr="00E500DB">
        <w:rPr>
          <w:rFonts w:ascii="Simplified Arabic" w:hAnsi="Simplified Arabic" w:cs="Simplified Arabic" w:hint="cs"/>
          <w:b/>
          <w:bCs/>
          <w:sz w:val="28"/>
          <w:szCs w:val="28"/>
          <w:rtl/>
          <w:lang w:bidi="ar-DZ"/>
        </w:rPr>
        <w:t>القانون</w:t>
      </w:r>
      <w:r w:rsidR="00E500D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00E500DB">
        <w:rPr>
          <w:rFonts w:ascii="Simplified Arabic" w:hAnsi="Simplified Arabic" w:cs="Simplified Arabic" w:hint="cs"/>
          <w:sz w:val="28"/>
          <w:szCs w:val="28"/>
          <w:rtl/>
          <w:lang w:bidi="ar-DZ"/>
        </w:rPr>
        <w:t xml:space="preserve">هو مرحلة عليا تنتج من تراكم مجموعة من النظريات العلمية في نسق معين يمكننا معه تفسير كافة الحالات والظواهر التي تندرج تحته، وبالتالي فهذه المرحلة لا تصل إليها العلوم الانسانية، بسبب اختلاف طبيعة البشر من مكان لآخر ومن زمان لآخر.  </w:t>
      </w:r>
    </w:p>
    <w:sectPr w:rsidR="00E500DB" w:rsidRPr="00E500DB" w:rsidSect="00B236A6">
      <w:footnotePr>
        <w:numFmt w:val="chicago"/>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E0" w:rsidRDefault="00E96AE0" w:rsidP="00AC6D8A">
      <w:pPr>
        <w:spacing w:after="0" w:line="240" w:lineRule="auto"/>
      </w:pPr>
      <w:r>
        <w:separator/>
      </w:r>
    </w:p>
  </w:endnote>
  <w:endnote w:type="continuationSeparator" w:id="1">
    <w:p w:rsidR="00E96AE0" w:rsidRDefault="00E96AE0" w:rsidP="00AC6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E0" w:rsidRDefault="00E96AE0" w:rsidP="00AC6D8A">
      <w:pPr>
        <w:spacing w:after="0" w:line="240" w:lineRule="auto"/>
      </w:pPr>
      <w:r>
        <w:separator/>
      </w:r>
    </w:p>
  </w:footnote>
  <w:footnote w:type="continuationSeparator" w:id="1">
    <w:p w:rsidR="00E96AE0" w:rsidRDefault="00E96AE0" w:rsidP="00AC6D8A">
      <w:pPr>
        <w:spacing w:after="0" w:line="240" w:lineRule="auto"/>
      </w:pPr>
      <w:r>
        <w:continuationSeparator/>
      </w:r>
    </w:p>
  </w:footnote>
  <w:footnote w:id="2">
    <w:p w:rsidR="00AC6D8A" w:rsidRDefault="00AC6D8A" w:rsidP="00AC6D8A">
      <w:pPr>
        <w:pStyle w:val="Notedebasdepage"/>
        <w:bidi/>
        <w:rPr>
          <w:rtl/>
          <w:lang w:bidi="ar-DZ"/>
        </w:rPr>
      </w:pPr>
      <w:r>
        <w:rPr>
          <w:rStyle w:val="Appelnotedebasdep"/>
        </w:rPr>
        <w:footnoteRef/>
      </w:r>
      <w:r>
        <w:t xml:space="preserve"> </w:t>
      </w:r>
      <w:r>
        <w:rPr>
          <w:rFonts w:hint="cs"/>
          <w:rtl/>
        </w:rPr>
        <w:t>سامويل توماس كوهن هو فيلسوف أمريكي من أصل نمساوي يهودي، ألف كتاب 'بنية الثورات العلمية وهو أول من استخدم مصطلح البراديغم، ويرى أن العلم لا يمر بطريقة تراكمية إنما قد يمر بثورات بنيوية نحو الحقيقة، تحدث تغييرا في البراديغم وهو يؤدي إلى تأسيس براديغمات جديدة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6C2"/>
    <w:multiLevelType w:val="hybridMultilevel"/>
    <w:tmpl w:val="FC56F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DA68D1"/>
    <w:multiLevelType w:val="hybridMultilevel"/>
    <w:tmpl w:val="946A2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7C6FFC"/>
    <w:multiLevelType w:val="hybridMultilevel"/>
    <w:tmpl w:val="8D78D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numRestart w:val="eachPage"/>
    <w:footnote w:id="0"/>
    <w:footnote w:id="1"/>
  </w:footnotePr>
  <w:endnotePr>
    <w:endnote w:id="0"/>
    <w:endnote w:id="1"/>
  </w:endnotePr>
  <w:compat/>
  <w:rsids>
    <w:rsidRoot w:val="00AC6D8A"/>
    <w:rsid w:val="000730B6"/>
    <w:rsid w:val="001C15F9"/>
    <w:rsid w:val="008A230C"/>
    <w:rsid w:val="00970C83"/>
    <w:rsid w:val="00AC6D8A"/>
    <w:rsid w:val="00B236A6"/>
    <w:rsid w:val="00E500DB"/>
    <w:rsid w:val="00E5305E"/>
    <w:rsid w:val="00E96AE0"/>
    <w:rsid w:val="00F204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6D8A"/>
    <w:pPr>
      <w:ind w:left="720"/>
      <w:contextualSpacing/>
    </w:pPr>
  </w:style>
  <w:style w:type="paragraph" w:styleId="Notedebasdepage">
    <w:name w:val="footnote text"/>
    <w:basedOn w:val="Normal"/>
    <w:link w:val="NotedebasdepageCar"/>
    <w:uiPriority w:val="99"/>
    <w:semiHidden/>
    <w:unhideWhenUsed/>
    <w:rsid w:val="00AC6D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6D8A"/>
    <w:rPr>
      <w:sz w:val="20"/>
      <w:szCs w:val="20"/>
    </w:rPr>
  </w:style>
  <w:style w:type="character" w:styleId="Appelnotedebasdep">
    <w:name w:val="footnote reference"/>
    <w:basedOn w:val="Policepardfaut"/>
    <w:uiPriority w:val="99"/>
    <w:semiHidden/>
    <w:unhideWhenUsed/>
    <w:rsid w:val="00AC6D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1862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3</cp:revision>
  <dcterms:created xsi:type="dcterms:W3CDTF">2021-02-11T10:45:00Z</dcterms:created>
  <dcterms:modified xsi:type="dcterms:W3CDTF">2021-02-14T18:49:00Z</dcterms:modified>
</cp:coreProperties>
</file>