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42" w:type="dxa"/>
        <w:tblLook w:val="04A0"/>
      </w:tblPr>
      <w:tblGrid>
        <w:gridCol w:w="9639"/>
      </w:tblGrid>
      <w:tr w:rsidR="006228F3" w:rsidRPr="00DD4D93" w:rsidTr="00437680">
        <w:trPr>
          <w:trHeight w:val="352"/>
        </w:trPr>
        <w:tc>
          <w:tcPr>
            <w:tcW w:w="9639" w:type="dxa"/>
            <w:shd w:val="clear" w:color="auto" w:fill="007409"/>
            <w:vAlign w:val="center"/>
          </w:tcPr>
          <w:p w:rsidR="006228F3" w:rsidRPr="00ED0063" w:rsidRDefault="00534C85" w:rsidP="00D1039B">
            <w:pPr>
              <w:pStyle w:val="uc2-ar-grand-titre1"/>
              <w:rPr>
                <w:b w:val="0"/>
                <w:bCs w:val="0"/>
                <w:sz w:val="40"/>
              </w:rPr>
            </w:pPr>
            <w:r>
              <w:rPr>
                <w:b w:val="0"/>
                <w:bCs w:val="0"/>
                <w:sz w:val="20"/>
                <w:szCs w:val="20"/>
                <w:lang w:bidi="ar-JO"/>
              </w:rPr>
              <w:br w:type="textWrapping" w:clear="all"/>
            </w:r>
            <w:r w:rsidR="00ED0063" w:rsidRPr="00ED0063">
              <w:rPr>
                <w:rStyle w:val="fontstyle01"/>
                <w:rFonts w:hint="cs"/>
                <w:b/>
                <w:bCs/>
                <w:color w:val="FFFFFF"/>
                <w:sz w:val="40"/>
                <w:szCs w:val="40"/>
                <w:rtl/>
              </w:rPr>
              <w:t xml:space="preserve">القسم </w:t>
            </w:r>
            <w:proofErr w:type="gramStart"/>
            <w:r w:rsidR="00D1039B">
              <w:rPr>
                <w:rStyle w:val="fontstyle01"/>
                <w:rFonts w:hint="cs"/>
                <w:b/>
                <w:bCs/>
                <w:color w:val="FFFFFF"/>
                <w:sz w:val="40"/>
                <w:szCs w:val="40"/>
                <w:rtl/>
              </w:rPr>
              <w:t>الثاني</w:t>
            </w:r>
            <w:r w:rsidR="00ED0063" w:rsidRPr="00ED0063">
              <w:rPr>
                <w:rStyle w:val="fontstyle01"/>
                <w:rFonts w:hint="cs"/>
                <w:b/>
                <w:bCs/>
                <w:color w:val="FFFFFF"/>
                <w:sz w:val="40"/>
                <w:szCs w:val="40"/>
                <w:rtl/>
              </w:rPr>
              <w:t xml:space="preserve"> </w:t>
            </w:r>
            <w:proofErr w:type="spellStart"/>
            <w:r w:rsidR="00ED0063" w:rsidRPr="00ED0063">
              <w:rPr>
                <w:rStyle w:val="fontstyle01"/>
                <w:rFonts w:hint="cs"/>
                <w:b/>
                <w:bCs/>
                <w:color w:val="FFFFFF"/>
                <w:sz w:val="40"/>
                <w:szCs w:val="40"/>
                <w:rtl/>
              </w:rPr>
              <w:t>:</w:t>
            </w:r>
            <w:proofErr w:type="spellEnd"/>
            <w:proofErr w:type="gramEnd"/>
            <w:r w:rsidR="00ED0063" w:rsidRPr="00ED0063">
              <w:rPr>
                <w:rStyle w:val="fontstyle01"/>
                <w:rFonts w:hint="cs"/>
                <w:b/>
                <w:bCs/>
                <w:color w:val="FFFFFF"/>
                <w:sz w:val="40"/>
                <w:szCs w:val="40"/>
                <w:rtl/>
              </w:rPr>
              <w:t xml:space="preserve"> </w:t>
            </w:r>
            <w:r w:rsidR="00D1039B">
              <w:rPr>
                <w:rStyle w:val="fontstyle01"/>
                <w:rFonts w:hint="cs"/>
                <w:b/>
                <w:bCs/>
                <w:color w:val="FFFFFF"/>
                <w:sz w:val="40"/>
                <w:szCs w:val="40"/>
                <w:rtl/>
              </w:rPr>
              <w:t xml:space="preserve">سوق رأس المال </w:t>
            </w:r>
          </w:p>
        </w:tc>
      </w:tr>
    </w:tbl>
    <w:p w:rsidR="00534C85" w:rsidRPr="00534C85" w:rsidRDefault="00534C85" w:rsidP="00534C85">
      <w:pPr>
        <w:tabs>
          <w:tab w:val="left" w:pos="1596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eastAsia="en-US" w:bidi="ar-DZ"/>
        </w:rPr>
      </w:pPr>
      <w:proofErr w:type="gramStart"/>
      <w:r w:rsidRPr="00534C8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eastAsia="en-US" w:bidi="ar-DZ"/>
        </w:rPr>
        <w:t>المحاضرة</w:t>
      </w:r>
      <w:proofErr w:type="gramEnd"/>
      <w:r w:rsidRPr="00534C8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eastAsia="en-US" w:bidi="ar-DZ"/>
        </w:rPr>
        <w:t xml:space="preserve"> -5-</w:t>
      </w:r>
    </w:p>
    <w:p w:rsidR="00D1039B" w:rsidRPr="00534C85" w:rsidRDefault="00D1039B" w:rsidP="00534C85">
      <w:pPr>
        <w:tabs>
          <w:tab w:val="left" w:pos="1596"/>
        </w:tabs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eastAsia="en-US"/>
        </w:rPr>
      </w:pPr>
      <w:proofErr w:type="gramStart"/>
      <w:r w:rsidRPr="00534C85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eastAsia="en-US"/>
        </w:rPr>
        <w:t>السوق</w:t>
      </w:r>
      <w:proofErr w:type="gramEnd"/>
      <w:r w:rsidRPr="00534C85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eastAsia="en-US"/>
        </w:rPr>
        <w:t xml:space="preserve"> المالي</w:t>
      </w:r>
    </w:p>
    <w:p w:rsidR="00D1039B" w:rsidRPr="00D1039B" w:rsidRDefault="00D1039B" w:rsidP="00D1039B">
      <w:pPr>
        <w:tabs>
          <w:tab w:val="left" w:pos="1596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1-</w:t>
      </w:r>
      <w:proofErr w:type="spell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تعريف السوق المالي و تطوره:</w:t>
      </w:r>
    </w:p>
    <w:p w:rsidR="00D1039B" w:rsidRPr="00D1039B" w:rsidRDefault="00534C85" w:rsidP="00D1039B">
      <w:pPr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1-1-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تعريف السوق </w:t>
      </w:r>
      <w:proofErr w:type="spellStart"/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المالي:</w:t>
      </w:r>
      <w:proofErr w:type="spellEnd"/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يعرف السوق المالي </w:t>
      </w:r>
      <w:proofErr w:type="gram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على  أنه</w:t>
      </w:r>
      <w:proofErr w:type="gram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المكان الذي يتم فيه تداول الأوراق المالية بأشكالها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المختلفة،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كالأسهم،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السندات،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المشتقات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المالية،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وتنظمه قوانين وأنظمة تضمن أتمام المبادلات بيعا وشراء بسرعة وسهولة و أمان</w:t>
      </w:r>
      <w:r w:rsidR="00D1039B" w:rsidRPr="00D103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عبارة عن نظام يتم بموجبه الجمع بين البائعين والمشترين لنوع معين من الأوراق أو لأصل مالي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معين،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حيث يتمكن بذلك المستثمرين من بيع وشراء عدد من الأسهم والسندات داخل السوق إما عن طريق السماسرة أو الشركات العاملة في هذا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ا</w:t>
      </w:r>
      <w:r w:rsidRPr="00D1039B">
        <w:rPr>
          <w:rFonts w:ascii="Simplified Arabic" w:eastAsia="MingLiU_HKSCS" w:hAnsi="Simplified Arabic" w:cs="Simplified Arabic"/>
          <w:sz w:val="28"/>
          <w:szCs w:val="28"/>
          <w:rtl/>
        </w:rPr>
        <w:t>لمجال</w:t>
      </w:r>
      <w:r w:rsidRPr="00D1039B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D1039B" w:rsidRPr="00D1039B" w:rsidRDefault="00534C85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1-2-</w:t>
      </w:r>
      <w:proofErr w:type="gramStart"/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تطور</w:t>
      </w:r>
      <w:proofErr w:type="gramEnd"/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الأسواق المالية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لقد مرت الأسواق المالية بعدة مراحل قبل وصولها إلى الشكل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الحالي،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ويمكن تقسيم هذه المراحل إلى أربعة مراحل رئيسية:</w:t>
      </w:r>
    </w:p>
    <w:p w:rsidR="00D1039B" w:rsidRPr="00D1039B" w:rsidRDefault="00D1039B" w:rsidP="00D1039B">
      <w:pPr>
        <w:spacing w:line="276" w:lineRule="auto"/>
        <w:rPr>
          <w:rFonts w:ascii="Simplified Arabic" w:hAnsi="Simplified Arabic" w:cs="Simplified Arabic"/>
          <w:sz w:val="28"/>
          <w:szCs w:val="28"/>
        </w:rPr>
      </w:pP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 الأولى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تميزت هذه المرحلة بعدم وجود البنوك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المركزية،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وكان السوق المالي والنقدي آن ذلك مكون من عدد كبير من البنوك الخاصة وبيوت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الصرافة،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كما تميزت هذه المرحلة بارتفاع نسبي في المستوى المعيشي للأفراد وإقبال الأفراد على استثمار مدخرا</w:t>
      </w:r>
      <w:r w:rsidRPr="00D1039B">
        <w:rPr>
          <w:rFonts w:ascii="Simplified Arabic" w:eastAsia="MingLiU_HKSCS" w:hAnsi="Simplified Arabic" w:cs="Simplified Arabic"/>
          <w:sz w:val="28"/>
          <w:szCs w:val="28"/>
          <w:rtl/>
        </w:rPr>
        <w:t>تهم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في مشروعات تجارية وزراعية وعقارية...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الخ،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ما أدى إلى اتساع المعاملات التجارية وبالتالي اضطر الأفراد إلى اللجوء إلى البنوك للاقتراض</w:t>
      </w:r>
    </w:p>
    <w:p w:rsidR="00D1039B" w:rsidRPr="00D1039B" w:rsidRDefault="007A42E0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 الثانية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تميزت هذه المرحلة بظهور البنوك المركزية التي نظمت عمل البنوك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التجارية،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التي أصبحت تعمل تحت رقابة البنوك المركزية الذي يحدد بدوره الكتلة النقدية اللازمة للاقتصاد من خلال سياساته النقدية</w:t>
      </w:r>
    </w:p>
    <w:p w:rsidR="00D1039B" w:rsidRPr="00D1039B" w:rsidRDefault="007A42E0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 الثالثة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تميزت هذه المرحلة بظهور البنوك المتخصصة في الإقراض المتوسط والطويل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الأجل،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مثل البنوك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الصناعية،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البنوك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الفلاحية،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بنوك التنمية... </w:t>
      </w:r>
      <w:proofErr w:type="gram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الخ</w:t>
      </w:r>
      <w:proofErr w:type="gram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1039B" w:rsidRPr="00D1039B" w:rsidRDefault="007A42E0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gramStart"/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المرحلة</w:t>
      </w:r>
      <w:proofErr w:type="gramEnd"/>
      <w:r w:rsidR="00D1039B"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الرابعة</w:t>
      </w:r>
      <w:r w:rsidR="00D1039B"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تميزت هذه المرحلة باندماج لأسواق النقدية مع الأسواق </w:t>
      </w:r>
      <w:proofErr w:type="spellStart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>المالية،</w:t>
      </w:r>
      <w:proofErr w:type="spellEnd"/>
      <w:r w:rsidR="00D1039B" w:rsidRPr="00D1039B">
        <w:rPr>
          <w:rFonts w:ascii="Simplified Arabic" w:hAnsi="Simplified Arabic" w:cs="Simplified Arabic"/>
          <w:sz w:val="28"/>
          <w:szCs w:val="28"/>
          <w:rtl/>
        </w:rPr>
        <w:t xml:space="preserve"> وكذا اندماج الأسواق المالية مع الأسواق الدولية وذلك لتطور وسائل الاتصال المختلفة وظهور البورصات الدولية المختلفة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2-</w:t>
      </w:r>
      <w:proofErr w:type="spell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أهمية السوق المالي: 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تمويل المشاريع التنموية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بدون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اللجوء إلى الاقتراض الخارجي الذي يكون بمعدلات فائدة مرتفعة وبشروط قاسية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lastRenderedPageBreak/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تعويض التمويل البنكي للمشاريع خاصة فيما يخص التمويل متوسط وطويل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الأجل،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لعدم قدرة القطاع البنكي على تمويل هذه المشاريع بسبب مشاكل التضخم والمخاطرة التي قد تتعرض إليها البنوك عند منحها القروض متوسطة وطويلة الأجل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تحقق سوق الأوراق المالية التوازن المالي المطلوب داخل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الاقتصاد،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ويكون ذلك بالتوفيق بين الوحدات التي تحقق فائض والوحدات التي تعاني من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العجز،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فيتحقق التوازن بين الطلب والعرض المالي من خلال هذا السوق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r w:rsidRPr="00D103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تأسيس الأسواق المالية وتكاملها وارتباطها بالأسواق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العالمية،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يؤدي إلى تزايد تدفق الأموال في الدول الصناعية إلى الدول التي في طور النمو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 </w:t>
      </w: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proofErr w:type="spell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أنواع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السوق </w:t>
      </w: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المالي: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هنـاك عـدة تـصنيفات للأسـواق الماليـة وذلـك حـسب معيـار التـصنيف</w:t>
      </w:r>
    </w:p>
    <w:p w:rsidR="00D1039B" w:rsidRPr="00D1039B" w:rsidRDefault="00D1039B" w:rsidP="00D1039B">
      <w:pPr>
        <w:pStyle w:val="Paragraphedeliste"/>
        <w:numPr>
          <w:ilvl w:val="0"/>
          <w:numId w:val="18"/>
        </w:numPr>
        <w:spacing w:line="276" w:lineRule="auto"/>
        <w:ind w:left="28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lang w:eastAsia="en-US"/>
        </w:rPr>
      </w:pPr>
      <w:proofErr w:type="gramStart"/>
      <w:r w:rsidRPr="00D1039B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أنواع</w:t>
      </w:r>
      <w:proofErr w:type="gramEnd"/>
      <w:r w:rsidRPr="00D1039B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السوق المالي من حيث الإصدار التداول</w:t>
      </w:r>
      <w:r w:rsidRPr="00D1039B">
        <w:rPr>
          <w:rFonts w:ascii="Simplified Arabic" w:eastAsiaTheme="minorEastAsia" w:hAnsi="Simplified Arabic" w:cs="Simplified Arabic"/>
          <w:b/>
          <w:bCs/>
          <w:sz w:val="28"/>
          <w:szCs w:val="28"/>
        </w:rPr>
        <w:t>:</w:t>
      </w:r>
    </w:p>
    <w:p w:rsidR="00D1039B" w:rsidRPr="00D1039B" w:rsidRDefault="00D1039B" w:rsidP="00D1039B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سـوق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أولـي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>هـو الـسوق الـذي يكـون فيـه البـائع للورقـة الماليـة (الـسهم أو الـسند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هـو مـصدرها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الأصـلي،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ويـتم إصدار الأوراق المالية لأول مرة</w:t>
      </w:r>
    </w:p>
    <w:p w:rsidR="00D1039B" w:rsidRPr="00D1039B" w:rsidRDefault="00D1039B" w:rsidP="00D1039B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سوق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ثانوي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>هو السوق الذي يتم التعامل فيه بالأسهم والسندات التي سبق إصدارها والتي يتم التداول</w:t>
      </w:r>
      <w:r w:rsidRPr="00D1039B">
        <w:rPr>
          <w:rFonts w:ascii="Simplified Arabic" w:eastAsia="MingLiU_HKSCS" w:hAnsi="Simplified Arabic" w:cs="Simplified Arabic"/>
          <w:sz w:val="28"/>
          <w:szCs w:val="28"/>
          <w:rtl/>
        </w:rPr>
        <w:t xml:space="preserve"> </w:t>
      </w:r>
      <w:proofErr w:type="spellStart"/>
      <w:r w:rsidRPr="00D1039B">
        <w:rPr>
          <w:rFonts w:ascii="Simplified Arabic" w:eastAsia="MingLiU_HKSCS" w:hAnsi="Simplified Arabic" w:cs="Simplified Arabic"/>
          <w:sz w:val="28"/>
          <w:szCs w:val="28"/>
          <w:rtl/>
        </w:rPr>
        <w:t>بها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بين المستثمرين</w:t>
      </w:r>
    </w:p>
    <w:p w:rsidR="00D1039B" w:rsidRPr="00D1039B" w:rsidRDefault="00D1039B" w:rsidP="00D1039B">
      <w:pPr>
        <w:pStyle w:val="Paragraphedeliste"/>
        <w:numPr>
          <w:ilvl w:val="0"/>
          <w:numId w:val="18"/>
        </w:numPr>
        <w:spacing w:line="276" w:lineRule="auto"/>
        <w:ind w:left="282"/>
        <w:jc w:val="both"/>
        <w:rPr>
          <w:rFonts w:ascii="Simplified Arabic" w:eastAsiaTheme="minorHAnsi" w:hAnsi="Simplified Arabic" w:cs="Simplified Arabic"/>
          <w:sz w:val="28"/>
          <w:szCs w:val="28"/>
          <w:lang w:eastAsia="en-US"/>
        </w:rPr>
      </w:pPr>
      <w:proofErr w:type="gramStart"/>
      <w:r w:rsidRPr="00D1039B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>أنواع</w:t>
      </w:r>
      <w:proofErr w:type="gramEnd"/>
      <w:r w:rsidRPr="00D1039B">
        <w:rPr>
          <w:rFonts w:ascii="Simplified Arabic" w:eastAsiaTheme="minorEastAsia" w:hAnsi="Simplified Arabic" w:cs="Simplified Arabic"/>
          <w:b/>
          <w:bCs/>
          <w:sz w:val="28"/>
          <w:szCs w:val="28"/>
          <w:rtl/>
        </w:rPr>
        <w:t xml:space="preserve"> السوق المالي من حيث التنظيم</w:t>
      </w:r>
      <w:r w:rsidR="007A42E0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</w:rPr>
        <w:t>:</w:t>
      </w:r>
    </w:p>
    <w:p w:rsidR="00D1039B" w:rsidRPr="00D1039B" w:rsidRDefault="00D1039B" w:rsidP="00D1039B">
      <w:pPr>
        <w:pStyle w:val="Paragraphedeliste"/>
        <w:numPr>
          <w:ilvl w:val="0"/>
          <w:numId w:val="20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الأسواق المنظمة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وهي الأسواق المالية الثانوية التي يتم التعامل فيها في مكان محدد وزمان محدد وبأسهم شركات مدرجة في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السوق،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وذلك وفق شروط معينة تحكم الحد الأدنى للصفقة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الواحدة،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بحيث يتكون هذا الحد الأدنى من عدد من الأسهم يبلغ مجموع قيمتها الاسمية مبلغا محددا تسمى وحدة التعامل</w:t>
      </w:r>
      <w:r w:rsidRPr="00D1039B">
        <w:rPr>
          <w:rFonts w:ascii="Simplified Arabic" w:hAnsi="Simplified Arabic" w:cs="Simplified Arabic"/>
          <w:sz w:val="28"/>
          <w:szCs w:val="28"/>
        </w:rPr>
        <w:t>.</w:t>
      </w:r>
      <w:r w:rsidRPr="00D1039B">
        <w:rPr>
          <w:rFonts w:ascii="Simplified Arabic" w:hAnsi="Simplified Arabic" w:cs="Simplified Arabic"/>
          <w:sz w:val="28"/>
          <w:szCs w:val="28"/>
        </w:rPr>
        <w:br/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يتم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التعامل في الأسواق المنظمة في قاعة مخصصة تسمى قاعة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التداول،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تكون مجهزة بالأجهزة اللازمة من كمبيوتر وأجهزة إرسال للأسعار وموظفين نشيطين متخصصين وألواح لإجراء المزايدات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عليها،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أو يكون التعامل إلكترونيا</w:t>
      </w:r>
    </w:p>
    <w:p w:rsidR="00D1039B" w:rsidRPr="00D1039B" w:rsidRDefault="00D1039B" w:rsidP="00D1039B">
      <w:pPr>
        <w:pStyle w:val="Paragraphedeliste"/>
        <w:numPr>
          <w:ilvl w:val="0"/>
          <w:numId w:val="20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السوق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غير المنظمة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يستخدم هذا الاصطلاح على المعاملات التي تتم خارج السوق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المنظم،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حيث لا يوجد مكان محدد لإجراء التعامل.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يتم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التعامل ببيوت السمسرة من خلال شبكة كبيرة من الاتصالات السريعة التي تربط بين السماسرة والتجار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والمستثمرين،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ومن خلال هذه الشبكة يمكن للمستثمر أن يختار أفضل الأسعار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1039B">
        <w:rPr>
          <w:rFonts w:ascii="Simplified Arabic" w:hAnsi="Simplified Arabic" w:cs="Simplified Arabic"/>
          <w:sz w:val="28"/>
          <w:szCs w:val="28"/>
          <w:rtl/>
        </w:rPr>
        <w:t>ج-</w:t>
      </w: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أنواع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السوق المالي من حيث تنفيذ الصفقات</w:t>
      </w:r>
      <w:r w:rsidR="00B26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1039B" w:rsidRPr="00D1039B" w:rsidRDefault="00D1039B" w:rsidP="00D1039B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أسواق </w:t>
      </w: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فورية:</w:t>
      </w:r>
      <w:proofErr w:type="spell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وهي الأسواق التي يتم التعامل فيها بحيث يتم تنفيذ الصفقة أي تسليم الأدوات المالية المشتراة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فورا،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وقد يكون أجل التسليم خلال ثلاثة أيام وتظل الصفقة تعتبر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فورية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أما إذا زاد على ذلك فهي صفقة آجلة</w:t>
      </w:r>
    </w:p>
    <w:p w:rsidR="00D1039B" w:rsidRPr="00D1039B" w:rsidRDefault="00D1039B" w:rsidP="00D1039B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أسواق مستقبلية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وهي أسواق يتم التعامل فيها بعقود يتم تنفيذها في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المستقبل،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كأن تشتري أوراقا مالية وتتعاقد عليها الآن ولكن التسليم سيتم بعد فترة زمنية قد تطول إلى عدة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شهور،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والهدف من هذه الصفقات هو الحد من المخاطر التي قد يتعرض لها المشتري بسبب ارتفاع الأسعار في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المستقبل،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فهو يتوقع أن تتوفر لديه النقود بعد شهرين من الآن ،مثلا ولكن يخشى أن ترتفع أسعار الأوراق المالية التي يرغب في شرائها خلال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فيتعاقد على شرائها الآن وبسعر يتفق عليه الآن ولكن التسليم بعد شهرين ودفع الثمن أيضا سيتم عند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التسليم،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ومن الطبي أن عي يكون السعر المتفق عليه ويسمى السعر الآجل سيكون أعلى من السعر الفوري بمقدار يتفق عليه مبنيا على توقعات المتعاقدين</w:t>
      </w:r>
      <w:r w:rsidR="001B427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د-</w:t>
      </w:r>
      <w:proofErr w:type="spell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أنواع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السوق المالي من حيث الأجل</w:t>
      </w:r>
      <w:r w:rsidR="00B260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1039B" w:rsidRPr="00D1039B" w:rsidRDefault="00D1039B" w:rsidP="00D1039B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أسواق</w:t>
      </w:r>
      <w:proofErr w:type="gram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النقد</w:t>
      </w:r>
      <w:r w:rsidRPr="00D1039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هي التي يتم التعامل فيها لآجال قصيرة أقل من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سنه،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وتعرف بالسوق المالية قصيرة الأجل</w:t>
      </w:r>
      <w:r w:rsidR="001B427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039B" w:rsidRPr="00D1039B" w:rsidRDefault="00D1039B" w:rsidP="00D1039B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أسواق رأس </w:t>
      </w:r>
      <w:proofErr w:type="spellStart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>المال:</w:t>
      </w:r>
      <w:proofErr w:type="spellEnd"/>
      <w:r w:rsidRPr="00D103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 </w:t>
      </w:r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التي يتم التعامل فيها لآجال طويلة أكثر من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سنه،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وتعرف بأسواق المال طوية الأجل</w:t>
      </w:r>
      <w:r w:rsidR="001B427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هناك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عدة أوجه للاختلاف بين السوق النقدي وسوق رأس المال والتي يمكن حصرها فيما يلي</w:t>
      </w:r>
      <w:r w:rsidRPr="00D1039B">
        <w:rPr>
          <w:rFonts w:ascii="Simplified Arabic" w:hAnsi="Simplified Arabic" w:cs="Simplified Arabic"/>
          <w:sz w:val="28"/>
          <w:szCs w:val="28"/>
        </w:rPr>
        <w:t>: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يعتبر السوق النقدي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سوق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تمويل قصير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الأجل،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بينما سوق رأس المال هو سوق التمويل طويل الأجل فهو سوق الصفقات المالية طويلة الأجل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يكون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لعنصري السيولة والأمان الأولوية من قبل المستثمر في سوق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النقد،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بينما يكون لعنصر الربحية الأولوية لمستثمر سوق رأس المال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سوق رأس المال اقل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اتساعا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من السوق النقدي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1039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1039B">
        <w:rPr>
          <w:rFonts w:ascii="Simplified Arabic" w:hAnsi="Simplified Arabic" w:cs="Simplified Arabic"/>
          <w:sz w:val="28"/>
          <w:szCs w:val="28"/>
          <w:rtl/>
        </w:rPr>
        <w:t>سوق</w:t>
      </w:r>
      <w:proofErr w:type="gram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رأس المال لكثر تنظيما من السوق النقدي والمتعاملين فيه من </w:t>
      </w:r>
      <w:proofErr w:type="spellStart"/>
      <w:r w:rsidRPr="00D1039B">
        <w:rPr>
          <w:rFonts w:ascii="Simplified Arabic" w:hAnsi="Simplified Arabic" w:cs="Simplified Arabic"/>
          <w:sz w:val="28"/>
          <w:szCs w:val="28"/>
          <w:rtl/>
        </w:rPr>
        <w:t>المتخصصين،</w:t>
      </w:r>
      <w:proofErr w:type="spellEnd"/>
      <w:r w:rsidRPr="00D1039B">
        <w:rPr>
          <w:rFonts w:ascii="Simplified Arabic" w:hAnsi="Simplified Arabic" w:cs="Simplified Arabic"/>
          <w:sz w:val="28"/>
          <w:szCs w:val="28"/>
          <w:rtl/>
        </w:rPr>
        <w:t xml:space="preserve"> ولذلك يطلق عليه بسوق الصفقات الكبيرة</w:t>
      </w:r>
    </w:p>
    <w:p w:rsidR="00D1039B" w:rsidRPr="00D1039B" w:rsidRDefault="00D1039B" w:rsidP="00D1039B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C15023" w:rsidRPr="00C15023" w:rsidRDefault="00C15023" w:rsidP="00C15023">
      <w:pPr>
        <w:rPr>
          <w:lang w:bidi="ar-DZ"/>
        </w:rPr>
      </w:pPr>
    </w:p>
    <w:sectPr w:rsidR="00C15023" w:rsidRPr="00C15023" w:rsidSect="000E3399">
      <w:headerReference w:type="default" r:id="rId7"/>
      <w:footerReference w:type="even" r:id="rId8"/>
      <w:footerReference w:type="default" r:id="rId9"/>
      <w:pgSz w:w="11906" w:h="16838"/>
      <w:pgMar w:top="1434" w:right="1134" w:bottom="993" w:left="1134" w:header="709" w:footer="266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0C" w:rsidRDefault="00A4780C" w:rsidP="007F009F">
      <w:r>
        <w:separator/>
      </w:r>
    </w:p>
    <w:p w:rsidR="00A4780C" w:rsidRDefault="00A4780C"/>
  </w:endnote>
  <w:endnote w:type="continuationSeparator" w:id="0">
    <w:p w:rsidR="00A4780C" w:rsidRDefault="00A4780C" w:rsidP="007F009F">
      <w:r>
        <w:continuationSeparator/>
      </w:r>
    </w:p>
    <w:p w:rsidR="00A4780C" w:rsidRDefault="00A478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BC" w:rsidRDefault="00635AE3" w:rsidP="000E3399">
    <w:pPr>
      <w:framePr w:wrap="around" w:vAnchor="text" w:hAnchor="margin" w:xAlign="right" w:y="1"/>
      <w:spacing w:beforeLines="40" w:afterLines="40"/>
    </w:pPr>
    <w:r>
      <w:rPr>
        <w:rtl/>
      </w:rPr>
      <w:fldChar w:fldCharType="begin"/>
    </w:r>
    <w:r w:rsidR="00B535BC">
      <w:instrText xml:space="preserve">PAGE  </w:instrText>
    </w:r>
    <w:r>
      <w:rPr>
        <w:rtl/>
      </w:rPr>
      <w:fldChar w:fldCharType="end"/>
    </w:r>
  </w:p>
  <w:p w:rsidR="00B535BC" w:rsidRDefault="00B535BC" w:rsidP="000E3399">
    <w:pPr>
      <w:spacing w:beforeLines="40" w:afterLines="40"/>
      <w:ind w:firstLine="360"/>
    </w:pPr>
  </w:p>
  <w:p w:rsidR="00B535BC" w:rsidRDefault="00B535BC" w:rsidP="000E3399">
    <w:pPr>
      <w:spacing w:beforeLines="40" w:afterLines="40"/>
    </w:pPr>
  </w:p>
  <w:p w:rsidR="00B535BC" w:rsidRDefault="00B535BC" w:rsidP="000E3399">
    <w:pPr>
      <w:bidi w:val="0"/>
      <w:spacing w:beforeLines="40" w:afterLines="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23" w:rsidRDefault="00635AE3">
    <w:pPr>
      <w:pStyle w:val="Pieddepage"/>
      <w:jc w:val="center"/>
    </w:pPr>
    <w:fldSimple w:instr=" PAGE   \* MERGEFORMAT ">
      <w:r w:rsidR="00B260DA">
        <w:rPr>
          <w:noProof/>
          <w:rtl/>
        </w:rPr>
        <w:t>1</w:t>
      </w:r>
    </w:fldSimple>
  </w:p>
  <w:p w:rsidR="00B535BC" w:rsidRDefault="00B535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0C" w:rsidRDefault="00A4780C" w:rsidP="007F009F">
      <w:r>
        <w:separator/>
      </w:r>
    </w:p>
    <w:p w:rsidR="00A4780C" w:rsidRDefault="00A4780C"/>
  </w:footnote>
  <w:footnote w:type="continuationSeparator" w:id="0">
    <w:p w:rsidR="00A4780C" w:rsidRDefault="00A4780C" w:rsidP="007F009F">
      <w:r>
        <w:continuationSeparator/>
      </w:r>
    </w:p>
    <w:p w:rsidR="00A4780C" w:rsidRDefault="00A478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4A0"/>
    </w:tblPr>
    <w:tblGrid>
      <w:gridCol w:w="3210"/>
    </w:tblGrid>
    <w:tr w:rsidR="00534C85" w:rsidTr="00EA2D18">
      <w:tc>
        <w:tcPr>
          <w:tcW w:w="3210" w:type="dxa"/>
          <w:shd w:val="clear" w:color="auto" w:fill="auto"/>
        </w:tcPr>
        <w:p w:rsidR="00534C85" w:rsidRPr="00447831" w:rsidRDefault="00534C85" w:rsidP="00437680">
          <w:pPr>
            <w:spacing w:before="40" w:after="40"/>
            <w:ind w:left="-85" w:right="-108"/>
            <w:rPr>
              <w:rFonts w:cs="Arial"/>
              <w:i/>
              <w:iCs/>
              <w:sz w:val="22"/>
              <w:szCs w:val="22"/>
              <w:rtl/>
              <w:lang w:bidi="ar-DZ"/>
            </w:rPr>
          </w:pPr>
          <w:r>
            <w:rPr>
              <w:rFonts w:ascii="Calibri Light" w:hAnsi="Calibri Light" w:cs="Arial" w:hint="cs"/>
              <w:i/>
              <w:iCs/>
              <w:color w:val="FF0000"/>
              <w:sz w:val="22"/>
              <w:szCs w:val="22"/>
              <w:rtl/>
              <w:lang w:bidi="ar-DZ"/>
            </w:rPr>
            <w:t>اقتصاد نقدي وسوق راس المال</w:t>
          </w:r>
        </w:p>
      </w:tc>
    </w:tr>
  </w:tbl>
  <w:p w:rsidR="00B535BC" w:rsidRDefault="00B535BC" w:rsidP="000E3399">
    <w:pPr>
      <w:bidi w:val="0"/>
      <w:spacing w:beforeLines="40" w:afterLines="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0.25pt;height:150.25pt" o:bullet="t">
        <v:imagedata r:id="rId1" o:title="bille_verte - Copie"/>
      </v:shape>
    </w:pict>
  </w:numPicBullet>
  <w:abstractNum w:abstractNumId="0">
    <w:nsid w:val="002714D1"/>
    <w:multiLevelType w:val="hybridMultilevel"/>
    <w:tmpl w:val="9EFCC0F6"/>
    <w:lvl w:ilvl="0" w:tplc="17209356">
      <w:start w:val="1"/>
      <w:numFmt w:val="decimal"/>
      <w:pStyle w:val="Titre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">
    <w:nsid w:val="0993047B"/>
    <w:multiLevelType w:val="hybridMultilevel"/>
    <w:tmpl w:val="1D2C910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3DD2B6B"/>
    <w:multiLevelType w:val="hybridMultilevel"/>
    <w:tmpl w:val="F0D25F56"/>
    <w:lvl w:ilvl="0" w:tplc="C876E880">
      <w:start w:val="1"/>
      <w:numFmt w:val="decimal"/>
      <w:pStyle w:val="uc2-ar-liste-enum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2185C"/>
    <w:multiLevelType w:val="hybridMultilevel"/>
    <w:tmpl w:val="05DE8744"/>
    <w:lvl w:ilvl="0" w:tplc="040C0001">
      <w:start w:val="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B71CC"/>
    <w:multiLevelType w:val="hybridMultilevel"/>
    <w:tmpl w:val="C974115C"/>
    <w:lvl w:ilvl="0" w:tplc="F3A00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B51"/>
    <w:multiLevelType w:val="hybridMultilevel"/>
    <w:tmpl w:val="D8A836B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681591C"/>
    <w:multiLevelType w:val="multilevel"/>
    <w:tmpl w:val="B0FEA3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F87F26"/>
    <w:multiLevelType w:val="hybridMultilevel"/>
    <w:tmpl w:val="3026A8F4"/>
    <w:lvl w:ilvl="0" w:tplc="7A08E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42F8E"/>
    <w:multiLevelType w:val="hybridMultilevel"/>
    <w:tmpl w:val="F6D02AF8"/>
    <w:lvl w:ilvl="0" w:tplc="B2B09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F14A7"/>
    <w:multiLevelType w:val="hybridMultilevel"/>
    <w:tmpl w:val="F1B2E37A"/>
    <w:lvl w:ilvl="0" w:tplc="61E85A5E">
      <w:start w:val="1"/>
      <w:numFmt w:val="bullet"/>
      <w:pStyle w:val="uc2-ar-lis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318C"/>
    <w:multiLevelType w:val="hybridMultilevel"/>
    <w:tmpl w:val="EA80EFC8"/>
    <w:lvl w:ilvl="0" w:tplc="7AA4601C">
      <w:start w:val="1"/>
      <w:numFmt w:val="bullet"/>
      <w:pStyle w:val="uc2-tableau-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57586"/>
    <w:multiLevelType w:val="hybridMultilevel"/>
    <w:tmpl w:val="A1326CA4"/>
    <w:lvl w:ilvl="0" w:tplc="97B45CE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6CA7"/>
    <w:multiLevelType w:val="hybridMultilevel"/>
    <w:tmpl w:val="059EFC7E"/>
    <w:lvl w:ilvl="0" w:tplc="F202BE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101571"/>
    <w:multiLevelType w:val="hybridMultilevel"/>
    <w:tmpl w:val="7AA0EBFC"/>
    <w:lvl w:ilvl="0" w:tplc="00E83D28">
      <w:start w:val="1"/>
      <w:numFmt w:val="arabicAlpha"/>
      <w:lvlText w:val="%1-"/>
      <w:lvlJc w:val="left"/>
      <w:pPr>
        <w:ind w:left="720" w:hanging="360"/>
      </w:pPr>
      <w:rPr>
        <w:rFonts w:ascii="TraditionalArabic" w:hAnsi="TraditionalArabic" w:cstheme="minorBidi"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E1DD7"/>
    <w:multiLevelType w:val="multilevel"/>
    <w:tmpl w:val="1658798C"/>
    <w:lvl w:ilvl="0">
      <w:start w:val="1"/>
      <w:numFmt w:val="decimal"/>
      <w:pStyle w:val="uc2-ar-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uc2-ar-titre2"/>
      <w:lvlText w:val="%2.%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uc2-ar-titre3"/>
      <w:lvlText w:val=".%2.%1.%3"/>
      <w:lvlJc w:val="left"/>
      <w:pPr>
        <w:ind w:left="720" w:hanging="432"/>
      </w:pPr>
      <w:rPr>
        <w:rFonts w:hint="default"/>
      </w:rPr>
    </w:lvl>
    <w:lvl w:ilvl="3">
      <w:start w:val="1"/>
      <w:numFmt w:val="decimal"/>
      <w:pStyle w:val="uc2-ar-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3CF79C9"/>
    <w:multiLevelType w:val="hybridMultilevel"/>
    <w:tmpl w:val="E08030CA"/>
    <w:lvl w:ilvl="0" w:tplc="56E875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153D5B"/>
    <w:multiLevelType w:val="hybridMultilevel"/>
    <w:tmpl w:val="D61CA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B1CE3"/>
    <w:multiLevelType w:val="hybridMultilevel"/>
    <w:tmpl w:val="FCAA9F58"/>
    <w:lvl w:ilvl="0" w:tplc="68C01C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2149B"/>
    <w:multiLevelType w:val="hybridMultilevel"/>
    <w:tmpl w:val="059EFC7E"/>
    <w:lvl w:ilvl="0" w:tplc="F202BE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9755EB9"/>
    <w:multiLevelType w:val="hybridMultilevel"/>
    <w:tmpl w:val="FF9A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83178"/>
    <w:multiLevelType w:val="hybridMultilevel"/>
    <w:tmpl w:val="756ACFBE"/>
    <w:lvl w:ilvl="0" w:tplc="6842066A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14"/>
    <w:lvlOverride w:ilvl="0">
      <w:lvl w:ilvl="0">
        <w:start w:val="1"/>
        <w:numFmt w:val="decimal"/>
        <w:pStyle w:val="uc2-ar-titre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uc2-ar-titre2"/>
        <w:lvlText w:val="%2.%1."/>
        <w:lvlJc w:val="left"/>
        <w:pPr>
          <w:ind w:left="576" w:hanging="576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uc2-ar-titre3"/>
        <w:lvlText w:val="%3.%2.%1.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pStyle w:val="uc2-ar-titre4"/>
        <w:lvlText w:val="%4.%3.%2.%1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>
    <w:abstractNumId w:val="7"/>
  </w:num>
  <w:num w:numId="8">
    <w:abstractNumId w:val="15"/>
  </w:num>
  <w:num w:numId="9">
    <w:abstractNumId w:val="4"/>
  </w:num>
  <w:num w:numId="10">
    <w:abstractNumId w:val="3"/>
  </w:num>
  <w:num w:numId="11">
    <w:abstractNumId w:val="12"/>
  </w:num>
  <w:num w:numId="12">
    <w:abstractNumId w:val="20"/>
  </w:num>
  <w:num w:numId="13">
    <w:abstractNumId w:val="18"/>
  </w:num>
  <w:num w:numId="14">
    <w:abstractNumId w:val="6"/>
  </w:num>
  <w:num w:numId="15">
    <w:abstractNumId w:val="8"/>
  </w:num>
  <w:num w:numId="16">
    <w:abstractNumId w:val="17"/>
  </w:num>
  <w:num w:numId="17">
    <w:abstractNumId w:val="11"/>
  </w:num>
  <w:num w:numId="18">
    <w:abstractNumId w:val="13"/>
  </w:num>
  <w:num w:numId="19">
    <w:abstractNumId w:val="1"/>
  </w:num>
  <w:num w:numId="20">
    <w:abstractNumId w:val="19"/>
  </w:num>
  <w:num w:numId="21">
    <w:abstractNumId w:val="5"/>
  </w:num>
  <w:num w:numId="22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287B"/>
    <w:rsid w:val="000149CD"/>
    <w:rsid w:val="00015A9B"/>
    <w:rsid w:val="00030592"/>
    <w:rsid w:val="000311EE"/>
    <w:rsid w:val="000405E8"/>
    <w:rsid w:val="000536FC"/>
    <w:rsid w:val="00061402"/>
    <w:rsid w:val="0007070C"/>
    <w:rsid w:val="00076990"/>
    <w:rsid w:val="00076C1E"/>
    <w:rsid w:val="00077102"/>
    <w:rsid w:val="00077CE8"/>
    <w:rsid w:val="00077F9B"/>
    <w:rsid w:val="000804AD"/>
    <w:rsid w:val="00083832"/>
    <w:rsid w:val="00087425"/>
    <w:rsid w:val="0009202E"/>
    <w:rsid w:val="000925CA"/>
    <w:rsid w:val="0009550F"/>
    <w:rsid w:val="000A2AC4"/>
    <w:rsid w:val="000A480D"/>
    <w:rsid w:val="000A4B24"/>
    <w:rsid w:val="000A6881"/>
    <w:rsid w:val="000A6AD9"/>
    <w:rsid w:val="000B352D"/>
    <w:rsid w:val="000B39EA"/>
    <w:rsid w:val="000B5375"/>
    <w:rsid w:val="000B65B3"/>
    <w:rsid w:val="000B6E04"/>
    <w:rsid w:val="000C2B10"/>
    <w:rsid w:val="000C48D1"/>
    <w:rsid w:val="000C5261"/>
    <w:rsid w:val="000C7468"/>
    <w:rsid w:val="000D03FE"/>
    <w:rsid w:val="000D5EB6"/>
    <w:rsid w:val="000D662A"/>
    <w:rsid w:val="000E0AAF"/>
    <w:rsid w:val="000E3399"/>
    <w:rsid w:val="000E3F3F"/>
    <w:rsid w:val="000E63B9"/>
    <w:rsid w:val="000F058E"/>
    <w:rsid w:val="000F65D8"/>
    <w:rsid w:val="001005C5"/>
    <w:rsid w:val="001030C9"/>
    <w:rsid w:val="00103B0B"/>
    <w:rsid w:val="00104EC6"/>
    <w:rsid w:val="00113A04"/>
    <w:rsid w:val="00127DC3"/>
    <w:rsid w:val="00130343"/>
    <w:rsid w:val="00131454"/>
    <w:rsid w:val="00133F9D"/>
    <w:rsid w:val="001352A6"/>
    <w:rsid w:val="00136E82"/>
    <w:rsid w:val="00151216"/>
    <w:rsid w:val="00156157"/>
    <w:rsid w:val="0016417A"/>
    <w:rsid w:val="00166A95"/>
    <w:rsid w:val="00192238"/>
    <w:rsid w:val="001968AF"/>
    <w:rsid w:val="001A3763"/>
    <w:rsid w:val="001B41BC"/>
    <w:rsid w:val="001B427A"/>
    <w:rsid w:val="001B6317"/>
    <w:rsid w:val="001B747F"/>
    <w:rsid w:val="001C6331"/>
    <w:rsid w:val="001D0EE2"/>
    <w:rsid w:val="001D13BB"/>
    <w:rsid w:val="001D60D5"/>
    <w:rsid w:val="001F1B66"/>
    <w:rsid w:val="001F6006"/>
    <w:rsid w:val="0021175E"/>
    <w:rsid w:val="00212556"/>
    <w:rsid w:val="00223030"/>
    <w:rsid w:val="00224755"/>
    <w:rsid w:val="0023399E"/>
    <w:rsid w:val="0023408A"/>
    <w:rsid w:val="00235726"/>
    <w:rsid w:val="002363C6"/>
    <w:rsid w:val="00240158"/>
    <w:rsid w:val="002419BA"/>
    <w:rsid w:val="00242774"/>
    <w:rsid w:val="00242CF8"/>
    <w:rsid w:val="0025567F"/>
    <w:rsid w:val="00256094"/>
    <w:rsid w:val="00264181"/>
    <w:rsid w:val="00270D3A"/>
    <w:rsid w:val="0027577A"/>
    <w:rsid w:val="00283C1F"/>
    <w:rsid w:val="00284147"/>
    <w:rsid w:val="0028734B"/>
    <w:rsid w:val="002C01FE"/>
    <w:rsid w:val="002C1E4B"/>
    <w:rsid w:val="002C3430"/>
    <w:rsid w:val="002C57D0"/>
    <w:rsid w:val="002C6A3E"/>
    <w:rsid w:val="002D0201"/>
    <w:rsid w:val="002D0A17"/>
    <w:rsid w:val="002D296F"/>
    <w:rsid w:val="002D554D"/>
    <w:rsid w:val="002E571A"/>
    <w:rsid w:val="002E78D5"/>
    <w:rsid w:val="002F1399"/>
    <w:rsid w:val="002F2C76"/>
    <w:rsid w:val="002F2E4C"/>
    <w:rsid w:val="00302E64"/>
    <w:rsid w:val="0030739C"/>
    <w:rsid w:val="00321DE6"/>
    <w:rsid w:val="00326BF9"/>
    <w:rsid w:val="00330358"/>
    <w:rsid w:val="00334D47"/>
    <w:rsid w:val="00341AA2"/>
    <w:rsid w:val="00343984"/>
    <w:rsid w:val="0035173F"/>
    <w:rsid w:val="00351DE6"/>
    <w:rsid w:val="00353268"/>
    <w:rsid w:val="0035602B"/>
    <w:rsid w:val="003572F3"/>
    <w:rsid w:val="00363079"/>
    <w:rsid w:val="00370F6C"/>
    <w:rsid w:val="00372AEA"/>
    <w:rsid w:val="003774DD"/>
    <w:rsid w:val="003808D6"/>
    <w:rsid w:val="003819E8"/>
    <w:rsid w:val="0038368E"/>
    <w:rsid w:val="003924C4"/>
    <w:rsid w:val="0039255A"/>
    <w:rsid w:val="003973F3"/>
    <w:rsid w:val="003A4AE7"/>
    <w:rsid w:val="003B2CE5"/>
    <w:rsid w:val="003B3C4E"/>
    <w:rsid w:val="003B6735"/>
    <w:rsid w:val="003C2BCD"/>
    <w:rsid w:val="003C34F4"/>
    <w:rsid w:val="003D0245"/>
    <w:rsid w:val="003D2159"/>
    <w:rsid w:val="003E241B"/>
    <w:rsid w:val="003E3F40"/>
    <w:rsid w:val="003F06FB"/>
    <w:rsid w:val="003F6F7B"/>
    <w:rsid w:val="003F71FC"/>
    <w:rsid w:val="00405DBC"/>
    <w:rsid w:val="0040739A"/>
    <w:rsid w:val="00407BCB"/>
    <w:rsid w:val="00413C02"/>
    <w:rsid w:val="00415AB3"/>
    <w:rsid w:val="00424922"/>
    <w:rsid w:val="0043248F"/>
    <w:rsid w:val="00435C85"/>
    <w:rsid w:val="00437680"/>
    <w:rsid w:val="00444737"/>
    <w:rsid w:val="00446B95"/>
    <w:rsid w:val="00447831"/>
    <w:rsid w:val="00447D63"/>
    <w:rsid w:val="00447E20"/>
    <w:rsid w:val="004513F9"/>
    <w:rsid w:val="00451549"/>
    <w:rsid w:val="00454484"/>
    <w:rsid w:val="004630B4"/>
    <w:rsid w:val="004641D3"/>
    <w:rsid w:val="00464BA8"/>
    <w:rsid w:val="00470A83"/>
    <w:rsid w:val="004714A4"/>
    <w:rsid w:val="004719A2"/>
    <w:rsid w:val="004805C0"/>
    <w:rsid w:val="00492289"/>
    <w:rsid w:val="00494CFB"/>
    <w:rsid w:val="00495669"/>
    <w:rsid w:val="004964CF"/>
    <w:rsid w:val="004A1089"/>
    <w:rsid w:val="004A1FA2"/>
    <w:rsid w:val="004A5D8D"/>
    <w:rsid w:val="004A6ED9"/>
    <w:rsid w:val="004B3436"/>
    <w:rsid w:val="004B37A3"/>
    <w:rsid w:val="004B4883"/>
    <w:rsid w:val="004B6F7A"/>
    <w:rsid w:val="004C0775"/>
    <w:rsid w:val="004C1937"/>
    <w:rsid w:val="004D2195"/>
    <w:rsid w:val="004E27D6"/>
    <w:rsid w:val="004E2B5B"/>
    <w:rsid w:val="004F5BC4"/>
    <w:rsid w:val="00504081"/>
    <w:rsid w:val="0050475D"/>
    <w:rsid w:val="005061E8"/>
    <w:rsid w:val="00510753"/>
    <w:rsid w:val="00517FCC"/>
    <w:rsid w:val="00521390"/>
    <w:rsid w:val="0052440E"/>
    <w:rsid w:val="00527065"/>
    <w:rsid w:val="00534C85"/>
    <w:rsid w:val="00541AD6"/>
    <w:rsid w:val="005469AB"/>
    <w:rsid w:val="00553626"/>
    <w:rsid w:val="00556947"/>
    <w:rsid w:val="0057015B"/>
    <w:rsid w:val="00571B43"/>
    <w:rsid w:val="00571D01"/>
    <w:rsid w:val="005726A8"/>
    <w:rsid w:val="00572BE6"/>
    <w:rsid w:val="00573229"/>
    <w:rsid w:val="005822B6"/>
    <w:rsid w:val="0058437A"/>
    <w:rsid w:val="00590EDD"/>
    <w:rsid w:val="005944CA"/>
    <w:rsid w:val="005966D6"/>
    <w:rsid w:val="005971F3"/>
    <w:rsid w:val="005A3ECC"/>
    <w:rsid w:val="005A5DC2"/>
    <w:rsid w:val="005A65FF"/>
    <w:rsid w:val="005B26EF"/>
    <w:rsid w:val="005B3386"/>
    <w:rsid w:val="005B41C6"/>
    <w:rsid w:val="005C05A7"/>
    <w:rsid w:val="005C4542"/>
    <w:rsid w:val="005C697C"/>
    <w:rsid w:val="005D0694"/>
    <w:rsid w:val="005D5A8E"/>
    <w:rsid w:val="005D6DBC"/>
    <w:rsid w:val="005E2E6A"/>
    <w:rsid w:val="005E59F7"/>
    <w:rsid w:val="005E7CD8"/>
    <w:rsid w:val="005F37AF"/>
    <w:rsid w:val="005F391D"/>
    <w:rsid w:val="005F49F9"/>
    <w:rsid w:val="006024D2"/>
    <w:rsid w:val="00605342"/>
    <w:rsid w:val="00605539"/>
    <w:rsid w:val="006112DC"/>
    <w:rsid w:val="006150AD"/>
    <w:rsid w:val="006228F3"/>
    <w:rsid w:val="00634DCD"/>
    <w:rsid w:val="00635005"/>
    <w:rsid w:val="00635AE3"/>
    <w:rsid w:val="00642582"/>
    <w:rsid w:val="00642E83"/>
    <w:rsid w:val="00643746"/>
    <w:rsid w:val="00650D93"/>
    <w:rsid w:val="00651E60"/>
    <w:rsid w:val="0065258C"/>
    <w:rsid w:val="006721C6"/>
    <w:rsid w:val="0067478D"/>
    <w:rsid w:val="006808FB"/>
    <w:rsid w:val="0068348E"/>
    <w:rsid w:val="0068440E"/>
    <w:rsid w:val="00687938"/>
    <w:rsid w:val="00690719"/>
    <w:rsid w:val="00691DED"/>
    <w:rsid w:val="00694C00"/>
    <w:rsid w:val="00695BDB"/>
    <w:rsid w:val="006A1779"/>
    <w:rsid w:val="006A29D9"/>
    <w:rsid w:val="006A3D68"/>
    <w:rsid w:val="006A6AB8"/>
    <w:rsid w:val="006A7903"/>
    <w:rsid w:val="006B2973"/>
    <w:rsid w:val="006B4A5A"/>
    <w:rsid w:val="006B4E07"/>
    <w:rsid w:val="006B707C"/>
    <w:rsid w:val="006D6B78"/>
    <w:rsid w:val="006E26C1"/>
    <w:rsid w:val="006E4059"/>
    <w:rsid w:val="006E51A8"/>
    <w:rsid w:val="006E53B8"/>
    <w:rsid w:val="006E6E18"/>
    <w:rsid w:val="006F4137"/>
    <w:rsid w:val="006F662F"/>
    <w:rsid w:val="00713E4B"/>
    <w:rsid w:val="00716A02"/>
    <w:rsid w:val="00721525"/>
    <w:rsid w:val="00725A20"/>
    <w:rsid w:val="00732588"/>
    <w:rsid w:val="0073276E"/>
    <w:rsid w:val="00743151"/>
    <w:rsid w:val="00743D68"/>
    <w:rsid w:val="00745C60"/>
    <w:rsid w:val="007470EA"/>
    <w:rsid w:val="00755DB4"/>
    <w:rsid w:val="00757A37"/>
    <w:rsid w:val="0076335E"/>
    <w:rsid w:val="0076395A"/>
    <w:rsid w:val="00767D32"/>
    <w:rsid w:val="007712BB"/>
    <w:rsid w:val="00772411"/>
    <w:rsid w:val="0077371D"/>
    <w:rsid w:val="00777586"/>
    <w:rsid w:val="00780CB1"/>
    <w:rsid w:val="00785F69"/>
    <w:rsid w:val="007878C5"/>
    <w:rsid w:val="00790807"/>
    <w:rsid w:val="00790C10"/>
    <w:rsid w:val="0079156A"/>
    <w:rsid w:val="007917C0"/>
    <w:rsid w:val="007922D3"/>
    <w:rsid w:val="00792597"/>
    <w:rsid w:val="00796829"/>
    <w:rsid w:val="00796AAB"/>
    <w:rsid w:val="007A2283"/>
    <w:rsid w:val="007A42E0"/>
    <w:rsid w:val="007A472E"/>
    <w:rsid w:val="007A7902"/>
    <w:rsid w:val="007B603B"/>
    <w:rsid w:val="007B7091"/>
    <w:rsid w:val="007B7FCF"/>
    <w:rsid w:val="007C113F"/>
    <w:rsid w:val="007C73F6"/>
    <w:rsid w:val="007E3F9A"/>
    <w:rsid w:val="007E3FB7"/>
    <w:rsid w:val="007E7809"/>
    <w:rsid w:val="007F009F"/>
    <w:rsid w:val="007F1CAA"/>
    <w:rsid w:val="007F6A6E"/>
    <w:rsid w:val="00800724"/>
    <w:rsid w:val="008008D6"/>
    <w:rsid w:val="00801FFE"/>
    <w:rsid w:val="008042B2"/>
    <w:rsid w:val="008132C3"/>
    <w:rsid w:val="00814607"/>
    <w:rsid w:val="00816650"/>
    <w:rsid w:val="008266C0"/>
    <w:rsid w:val="00830826"/>
    <w:rsid w:val="00831228"/>
    <w:rsid w:val="008352F3"/>
    <w:rsid w:val="0083688B"/>
    <w:rsid w:val="00836ED9"/>
    <w:rsid w:val="00852A25"/>
    <w:rsid w:val="0085466E"/>
    <w:rsid w:val="00855378"/>
    <w:rsid w:val="0085594C"/>
    <w:rsid w:val="00860895"/>
    <w:rsid w:val="008633FD"/>
    <w:rsid w:val="0086687D"/>
    <w:rsid w:val="0087051A"/>
    <w:rsid w:val="00871CB6"/>
    <w:rsid w:val="00881E3B"/>
    <w:rsid w:val="008936B8"/>
    <w:rsid w:val="00895B0E"/>
    <w:rsid w:val="00897B6D"/>
    <w:rsid w:val="008A7E57"/>
    <w:rsid w:val="008B323F"/>
    <w:rsid w:val="008B4EB0"/>
    <w:rsid w:val="008B5C55"/>
    <w:rsid w:val="008B62AC"/>
    <w:rsid w:val="008B62EC"/>
    <w:rsid w:val="008C677B"/>
    <w:rsid w:val="008D0205"/>
    <w:rsid w:val="008D1265"/>
    <w:rsid w:val="008D2093"/>
    <w:rsid w:val="008D2E11"/>
    <w:rsid w:val="008D4BBA"/>
    <w:rsid w:val="008F1226"/>
    <w:rsid w:val="008F1638"/>
    <w:rsid w:val="008F27BC"/>
    <w:rsid w:val="0091247C"/>
    <w:rsid w:val="00920C19"/>
    <w:rsid w:val="00926957"/>
    <w:rsid w:val="00927FD7"/>
    <w:rsid w:val="00930A63"/>
    <w:rsid w:val="00930BFC"/>
    <w:rsid w:val="00932211"/>
    <w:rsid w:val="00942C03"/>
    <w:rsid w:val="00944771"/>
    <w:rsid w:val="0094799B"/>
    <w:rsid w:val="009502D5"/>
    <w:rsid w:val="00952D99"/>
    <w:rsid w:val="00953AB3"/>
    <w:rsid w:val="00964ABD"/>
    <w:rsid w:val="00966674"/>
    <w:rsid w:val="009711DC"/>
    <w:rsid w:val="0097177B"/>
    <w:rsid w:val="00976565"/>
    <w:rsid w:val="00976DDE"/>
    <w:rsid w:val="009823F4"/>
    <w:rsid w:val="00983278"/>
    <w:rsid w:val="00992CE5"/>
    <w:rsid w:val="00993FE6"/>
    <w:rsid w:val="009A039B"/>
    <w:rsid w:val="009A3028"/>
    <w:rsid w:val="009A65BB"/>
    <w:rsid w:val="009B1D91"/>
    <w:rsid w:val="009B287B"/>
    <w:rsid w:val="009C2280"/>
    <w:rsid w:val="009E0464"/>
    <w:rsid w:val="009E2C4E"/>
    <w:rsid w:val="009E767B"/>
    <w:rsid w:val="009F4F6D"/>
    <w:rsid w:val="009F582C"/>
    <w:rsid w:val="00A0090F"/>
    <w:rsid w:val="00A03A8F"/>
    <w:rsid w:val="00A04B59"/>
    <w:rsid w:val="00A0582F"/>
    <w:rsid w:val="00A074E5"/>
    <w:rsid w:val="00A105FD"/>
    <w:rsid w:val="00A2193D"/>
    <w:rsid w:val="00A21E27"/>
    <w:rsid w:val="00A226F4"/>
    <w:rsid w:val="00A23E70"/>
    <w:rsid w:val="00A24809"/>
    <w:rsid w:val="00A35222"/>
    <w:rsid w:val="00A43A1F"/>
    <w:rsid w:val="00A44B31"/>
    <w:rsid w:val="00A4780C"/>
    <w:rsid w:val="00A504FA"/>
    <w:rsid w:val="00A52E69"/>
    <w:rsid w:val="00A54B26"/>
    <w:rsid w:val="00A55270"/>
    <w:rsid w:val="00A56A16"/>
    <w:rsid w:val="00A61074"/>
    <w:rsid w:val="00A6192E"/>
    <w:rsid w:val="00A635B0"/>
    <w:rsid w:val="00A63E48"/>
    <w:rsid w:val="00A64DA3"/>
    <w:rsid w:val="00A71BDC"/>
    <w:rsid w:val="00A7260F"/>
    <w:rsid w:val="00A826B7"/>
    <w:rsid w:val="00A8324A"/>
    <w:rsid w:val="00A85BC7"/>
    <w:rsid w:val="00A86F64"/>
    <w:rsid w:val="00A87B02"/>
    <w:rsid w:val="00AA489B"/>
    <w:rsid w:val="00AA6FA1"/>
    <w:rsid w:val="00AB0EB4"/>
    <w:rsid w:val="00AB1A1E"/>
    <w:rsid w:val="00AB4503"/>
    <w:rsid w:val="00AB7409"/>
    <w:rsid w:val="00AB7E4D"/>
    <w:rsid w:val="00AC28D0"/>
    <w:rsid w:val="00AC5E43"/>
    <w:rsid w:val="00AC683C"/>
    <w:rsid w:val="00AD1127"/>
    <w:rsid w:val="00AD5A10"/>
    <w:rsid w:val="00AE04EE"/>
    <w:rsid w:val="00AE2707"/>
    <w:rsid w:val="00AF0033"/>
    <w:rsid w:val="00AF3C46"/>
    <w:rsid w:val="00AF5353"/>
    <w:rsid w:val="00AF60D0"/>
    <w:rsid w:val="00B014FE"/>
    <w:rsid w:val="00B07136"/>
    <w:rsid w:val="00B10AE4"/>
    <w:rsid w:val="00B17B5D"/>
    <w:rsid w:val="00B228E8"/>
    <w:rsid w:val="00B24770"/>
    <w:rsid w:val="00B260DA"/>
    <w:rsid w:val="00B27073"/>
    <w:rsid w:val="00B27A8E"/>
    <w:rsid w:val="00B37AF6"/>
    <w:rsid w:val="00B463FE"/>
    <w:rsid w:val="00B516D8"/>
    <w:rsid w:val="00B535BC"/>
    <w:rsid w:val="00B74828"/>
    <w:rsid w:val="00B75405"/>
    <w:rsid w:val="00B75CA7"/>
    <w:rsid w:val="00B80DE5"/>
    <w:rsid w:val="00B86266"/>
    <w:rsid w:val="00B8708D"/>
    <w:rsid w:val="00B93C80"/>
    <w:rsid w:val="00B9438D"/>
    <w:rsid w:val="00B94B4E"/>
    <w:rsid w:val="00B97B8A"/>
    <w:rsid w:val="00BA5A34"/>
    <w:rsid w:val="00BA68DD"/>
    <w:rsid w:val="00BA77C6"/>
    <w:rsid w:val="00BB2BA7"/>
    <w:rsid w:val="00BB2DA2"/>
    <w:rsid w:val="00BB79B8"/>
    <w:rsid w:val="00BC16D4"/>
    <w:rsid w:val="00BC6A23"/>
    <w:rsid w:val="00BD13EE"/>
    <w:rsid w:val="00BD4FFB"/>
    <w:rsid w:val="00BE21F4"/>
    <w:rsid w:val="00BE4D03"/>
    <w:rsid w:val="00BE5485"/>
    <w:rsid w:val="00BE64C2"/>
    <w:rsid w:val="00BE6DE4"/>
    <w:rsid w:val="00BF0D12"/>
    <w:rsid w:val="00C0017D"/>
    <w:rsid w:val="00C026B5"/>
    <w:rsid w:val="00C07F05"/>
    <w:rsid w:val="00C12203"/>
    <w:rsid w:val="00C15023"/>
    <w:rsid w:val="00C167FC"/>
    <w:rsid w:val="00C20D34"/>
    <w:rsid w:val="00C25307"/>
    <w:rsid w:val="00C32008"/>
    <w:rsid w:val="00C34456"/>
    <w:rsid w:val="00C3524E"/>
    <w:rsid w:val="00C436E8"/>
    <w:rsid w:val="00C524C1"/>
    <w:rsid w:val="00C660F6"/>
    <w:rsid w:val="00C71979"/>
    <w:rsid w:val="00C83E07"/>
    <w:rsid w:val="00C95E22"/>
    <w:rsid w:val="00CA210E"/>
    <w:rsid w:val="00CA422D"/>
    <w:rsid w:val="00CB148A"/>
    <w:rsid w:val="00CB2531"/>
    <w:rsid w:val="00CB3FB2"/>
    <w:rsid w:val="00CB7389"/>
    <w:rsid w:val="00CC25D0"/>
    <w:rsid w:val="00CC7799"/>
    <w:rsid w:val="00CD24B1"/>
    <w:rsid w:val="00CD2994"/>
    <w:rsid w:val="00CD5360"/>
    <w:rsid w:val="00CD57DB"/>
    <w:rsid w:val="00CE2876"/>
    <w:rsid w:val="00CE2DCA"/>
    <w:rsid w:val="00CE6A5C"/>
    <w:rsid w:val="00D00437"/>
    <w:rsid w:val="00D03EFC"/>
    <w:rsid w:val="00D1039B"/>
    <w:rsid w:val="00D12E04"/>
    <w:rsid w:val="00D175EA"/>
    <w:rsid w:val="00D238D8"/>
    <w:rsid w:val="00D24DB8"/>
    <w:rsid w:val="00D25FB2"/>
    <w:rsid w:val="00D33F69"/>
    <w:rsid w:val="00D34B1F"/>
    <w:rsid w:val="00D42FAD"/>
    <w:rsid w:val="00D464AB"/>
    <w:rsid w:val="00D53159"/>
    <w:rsid w:val="00D66566"/>
    <w:rsid w:val="00D67715"/>
    <w:rsid w:val="00D714CD"/>
    <w:rsid w:val="00D73E78"/>
    <w:rsid w:val="00D74310"/>
    <w:rsid w:val="00D8557F"/>
    <w:rsid w:val="00D9072E"/>
    <w:rsid w:val="00DA052B"/>
    <w:rsid w:val="00DA41F5"/>
    <w:rsid w:val="00DA462C"/>
    <w:rsid w:val="00DB057F"/>
    <w:rsid w:val="00DB15C8"/>
    <w:rsid w:val="00DB5540"/>
    <w:rsid w:val="00DB6BB3"/>
    <w:rsid w:val="00DC3B94"/>
    <w:rsid w:val="00DC4127"/>
    <w:rsid w:val="00DD222D"/>
    <w:rsid w:val="00DD4D93"/>
    <w:rsid w:val="00DD5557"/>
    <w:rsid w:val="00DD79AE"/>
    <w:rsid w:val="00DD7AB3"/>
    <w:rsid w:val="00DD7D6A"/>
    <w:rsid w:val="00DE5DEF"/>
    <w:rsid w:val="00DE7C17"/>
    <w:rsid w:val="00DF1410"/>
    <w:rsid w:val="00DF1783"/>
    <w:rsid w:val="00E030C2"/>
    <w:rsid w:val="00E12F37"/>
    <w:rsid w:val="00E15DC9"/>
    <w:rsid w:val="00E2045C"/>
    <w:rsid w:val="00E21823"/>
    <w:rsid w:val="00E37F20"/>
    <w:rsid w:val="00E44016"/>
    <w:rsid w:val="00E466C1"/>
    <w:rsid w:val="00E4732D"/>
    <w:rsid w:val="00E475B3"/>
    <w:rsid w:val="00E51C76"/>
    <w:rsid w:val="00E63767"/>
    <w:rsid w:val="00E76CB2"/>
    <w:rsid w:val="00E801B0"/>
    <w:rsid w:val="00E802DF"/>
    <w:rsid w:val="00E81875"/>
    <w:rsid w:val="00E826BD"/>
    <w:rsid w:val="00E82D59"/>
    <w:rsid w:val="00E84087"/>
    <w:rsid w:val="00E8495F"/>
    <w:rsid w:val="00E9425D"/>
    <w:rsid w:val="00E9591F"/>
    <w:rsid w:val="00E95E51"/>
    <w:rsid w:val="00E968EA"/>
    <w:rsid w:val="00E97827"/>
    <w:rsid w:val="00E97FCF"/>
    <w:rsid w:val="00EA2D18"/>
    <w:rsid w:val="00EA6EE1"/>
    <w:rsid w:val="00EA758B"/>
    <w:rsid w:val="00EB008B"/>
    <w:rsid w:val="00EB0694"/>
    <w:rsid w:val="00EB7AD4"/>
    <w:rsid w:val="00EB7B38"/>
    <w:rsid w:val="00EC3150"/>
    <w:rsid w:val="00ED0063"/>
    <w:rsid w:val="00ED1557"/>
    <w:rsid w:val="00ED17B9"/>
    <w:rsid w:val="00ED4CC3"/>
    <w:rsid w:val="00ED68EB"/>
    <w:rsid w:val="00EE2D5E"/>
    <w:rsid w:val="00EE32EA"/>
    <w:rsid w:val="00EF0A94"/>
    <w:rsid w:val="00EF6300"/>
    <w:rsid w:val="00F00715"/>
    <w:rsid w:val="00F02129"/>
    <w:rsid w:val="00F027EF"/>
    <w:rsid w:val="00F0476D"/>
    <w:rsid w:val="00F16824"/>
    <w:rsid w:val="00F17F3E"/>
    <w:rsid w:val="00F20E63"/>
    <w:rsid w:val="00F21090"/>
    <w:rsid w:val="00F21806"/>
    <w:rsid w:val="00F21D39"/>
    <w:rsid w:val="00F24B73"/>
    <w:rsid w:val="00F3064A"/>
    <w:rsid w:val="00F312F5"/>
    <w:rsid w:val="00F46F25"/>
    <w:rsid w:val="00F538D8"/>
    <w:rsid w:val="00F5623D"/>
    <w:rsid w:val="00F562F6"/>
    <w:rsid w:val="00F567D3"/>
    <w:rsid w:val="00F56899"/>
    <w:rsid w:val="00F56904"/>
    <w:rsid w:val="00F60EFC"/>
    <w:rsid w:val="00F61991"/>
    <w:rsid w:val="00F63513"/>
    <w:rsid w:val="00F64B11"/>
    <w:rsid w:val="00F71A56"/>
    <w:rsid w:val="00F75BB0"/>
    <w:rsid w:val="00F77799"/>
    <w:rsid w:val="00F81A1F"/>
    <w:rsid w:val="00F85270"/>
    <w:rsid w:val="00F86BC5"/>
    <w:rsid w:val="00F90BBB"/>
    <w:rsid w:val="00F95793"/>
    <w:rsid w:val="00FA060C"/>
    <w:rsid w:val="00FA2BDE"/>
    <w:rsid w:val="00FA2E1B"/>
    <w:rsid w:val="00FA44FB"/>
    <w:rsid w:val="00FA5496"/>
    <w:rsid w:val="00FB5339"/>
    <w:rsid w:val="00FB6F44"/>
    <w:rsid w:val="00FC0670"/>
    <w:rsid w:val="00FC1263"/>
    <w:rsid w:val="00FC284F"/>
    <w:rsid w:val="00FC67F5"/>
    <w:rsid w:val="00FD03BD"/>
    <w:rsid w:val="00FD318A"/>
    <w:rsid w:val="00FE43E3"/>
    <w:rsid w:val="00FF2714"/>
    <w:rsid w:val="00FF271C"/>
    <w:rsid w:val="00FF2B13"/>
    <w:rsid w:val="00FF4EE3"/>
    <w:rsid w:val="00FF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26"/>
    <w:pPr>
      <w:bidi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F7584"/>
    <w:pPr>
      <w:keepNext/>
      <w:keepLines/>
      <w:spacing w:before="240" w:after="60"/>
      <w:outlineLvl w:val="0"/>
    </w:pPr>
    <w:rPr>
      <w:rFonts w:ascii="Calibri Light" w:hAnsi="Calibri Light"/>
      <w:b/>
      <w:color w:val="007409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7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A5A34"/>
    <w:pPr>
      <w:keepNext/>
      <w:numPr>
        <w:numId w:val="1"/>
      </w:numPr>
      <w:spacing w:line="360" w:lineRule="auto"/>
      <w:jc w:val="lowKashida"/>
      <w:outlineLvl w:val="5"/>
    </w:pPr>
    <w:rPr>
      <w:b/>
      <w:bCs/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F7584"/>
    <w:rPr>
      <w:rFonts w:ascii="Calibri Light" w:eastAsia="Times New Roman" w:hAnsi="Calibri Light" w:cs="Times New Roman"/>
      <w:b/>
      <w:color w:val="007409"/>
      <w:sz w:val="28"/>
      <w:szCs w:val="32"/>
      <w:lang w:val="en-US" w:eastAsia="ar-SA"/>
    </w:rPr>
  </w:style>
  <w:style w:type="character" w:customStyle="1" w:styleId="Titre2Car">
    <w:name w:val="Titre 2 Car"/>
    <w:link w:val="Titre2"/>
    <w:uiPriority w:val="9"/>
    <w:rsid w:val="00FC67F5"/>
    <w:rPr>
      <w:rFonts w:ascii="Calibri Light" w:eastAsia="Times New Roman" w:hAnsi="Calibri Light" w:cs="Times New Roman"/>
      <w:color w:val="2E74B5"/>
      <w:sz w:val="26"/>
      <w:szCs w:val="26"/>
      <w:lang w:val="en-US" w:eastAsia="ar-SA"/>
    </w:rPr>
  </w:style>
  <w:style w:type="character" w:customStyle="1" w:styleId="Titre6Car">
    <w:name w:val="Titre 6 Car"/>
    <w:link w:val="Titre6"/>
    <w:rsid w:val="00BA5A34"/>
    <w:rPr>
      <w:rFonts w:ascii="Times New Roman" w:eastAsia="Times New Roman" w:hAnsi="Times New Roman" w:cs="Times New Roman"/>
      <w:b/>
      <w:bCs/>
      <w:sz w:val="24"/>
      <w:szCs w:val="24"/>
      <w:lang w:val="en-US" w:eastAsia="ar-SA" w:bidi="ar-JO"/>
    </w:rPr>
  </w:style>
  <w:style w:type="table" w:styleId="Grilledutableau">
    <w:name w:val="Table Grid"/>
    <w:basedOn w:val="TableauNormal"/>
    <w:uiPriority w:val="59"/>
    <w:rsid w:val="00BA5A3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c2-ar-titre4">
    <w:name w:val="uc2-ar-titre4"/>
    <w:next w:val="uc2-ar-normal"/>
    <w:qFormat/>
    <w:rsid w:val="005C4542"/>
    <w:pPr>
      <w:numPr>
        <w:ilvl w:val="3"/>
        <w:numId w:val="6"/>
      </w:numPr>
      <w:bidi/>
      <w:spacing w:before="120" w:after="60"/>
      <w:ind w:left="991" w:hanging="991"/>
      <w:outlineLvl w:val="3"/>
    </w:pPr>
    <w:rPr>
      <w:rFonts w:ascii="Arial" w:eastAsia="Times New Roman" w:hAnsi="Arial"/>
      <w:bCs/>
      <w:noProof/>
      <w:sz w:val="24"/>
      <w:szCs w:val="24"/>
      <w:lang w:bidi="ar-JO"/>
    </w:rPr>
  </w:style>
  <w:style w:type="paragraph" w:customStyle="1" w:styleId="uc2-ar-normal">
    <w:name w:val="uc2-ar-normal"/>
    <w:basedOn w:val="Normal"/>
    <w:qFormat/>
    <w:rsid w:val="00D53159"/>
    <w:pPr>
      <w:spacing w:after="120" w:line="320" w:lineRule="exact"/>
      <w:jc w:val="both"/>
    </w:pPr>
    <w:rPr>
      <w:rFonts w:ascii="Arial" w:hAnsi="Arial" w:cs="Arial"/>
      <w:lang w:eastAsia="en-US" w:bidi="ar-DZ"/>
    </w:rPr>
  </w:style>
  <w:style w:type="paragraph" w:customStyle="1" w:styleId="uc2-ar-titre2">
    <w:name w:val="uc2-ar-titre2"/>
    <w:next w:val="uc2-ar-normal"/>
    <w:qFormat/>
    <w:rsid w:val="005C4542"/>
    <w:pPr>
      <w:numPr>
        <w:ilvl w:val="1"/>
        <w:numId w:val="6"/>
      </w:numPr>
      <w:bidi/>
      <w:spacing w:before="180" w:after="60"/>
      <w:ind w:left="637" w:hanging="637"/>
      <w:outlineLvl w:val="1"/>
    </w:pPr>
    <w:rPr>
      <w:rFonts w:ascii="Arial" w:eastAsia="Times New Roman" w:hAnsi="Arial"/>
      <w:bCs/>
      <w:noProof/>
      <w:sz w:val="30"/>
      <w:szCs w:val="30"/>
      <w:lang w:bidi="ar-JO"/>
    </w:rPr>
  </w:style>
  <w:style w:type="paragraph" w:customStyle="1" w:styleId="uc2-ar-titre40">
    <w:name w:val="uc2-ar-titre4*"/>
    <w:basedOn w:val="uc2-ar-titre4"/>
    <w:next w:val="uc2-ar-normal"/>
    <w:qFormat/>
    <w:rsid w:val="00334D47"/>
    <w:pPr>
      <w:numPr>
        <w:ilvl w:val="0"/>
        <w:numId w:val="0"/>
      </w:numPr>
    </w:pPr>
  </w:style>
  <w:style w:type="character" w:styleId="Lienhypertexte">
    <w:name w:val="Hyperlink"/>
    <w:uiPriority w:val="99"/>
    <w:rsid w:val="00BA5A3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D2994"/>
    <w:pPr>
      <w:ind w:left="720"/>
      <w:contextualSpacing/>
    </w:pPr>
  </w:style>
  <w:style w:type="paragraph" w:customStyle="1" w:styleId="uc2-tableau-entete">
    <w:name w:val="uc2-tableau-entete"/>
    <w:basedOn w:val="Normal"/>
    <w:qFormat/>
    <w:rsid w:val="00FF7584"/>
    <w:pPr>
      <w:bidi w:val="0"/>
      <w:jc w:val="center"/>
    </w:pPr>
    <w:rPr>
      <w:rFonts w:ascii="Arial" w:hAnsi="Arial" w:cs="Arial"/>
      <w:b/>
      <w:bCs/>
      <w:color w:val="FFFFFF"/>
      <w:sz w:val="22"/>
      <w:szCs w:val="22"/>
      <w:lang w:val="fr-FR" w:bidi="ar-JO"/>
    </w:rPr>
  </w:style>
  <w:style w:type="paragraph" w:customStyle="1" w:styleId="uc2-tableau-liste">
    <w:name w:val="uc2-tableau-liste"/>
    <w:basedOn w:val="Paragraphedeliste"/>
    <w:qFormat/>
    <w:rsid w:val="00EE2D5E"/>
    <w:pPr>
      <w:numPr>
        <w:numId w:val="2"/>
      </w:numPr>
      <w:autoSpaceDE w:val="0"/>
      <w:autoSpaceDN w:val="0"/>
      <w:bidi w:val="0"/>
      <w:adjustRightInd w:val="0"/>
      <w:spacing w:line="260" w:lineRule="exact"/>
      <w:ind w:left="226" w:hanging="147"/>
      <w:jc w:val="both"/>
    </w:pPr>
    <w:rPr>
      <w:rFonts w:ascii="Palatino-Bold" w:hAnsi="Palatino-Bold" w:cs="Palatino-Bold"/>
      <w:color w:val="231F20"/>
      <w:sz w:val="22"/>
      <w:szCs w:val="22"/>
      <w:lang w:val="fr-FR"/>
    </w:rPr>
  </w:style>
  <w:style w:type="paragraph" w:customStyle="1" w:styleId="uc2-ar-titre10">
    <w:name w:val="uc2-ar-titre1*"/>
    <w:basedOn w:val="uc2-ar-titre1"/>
    <w:next w:val="uc2-ar-normal"/>
    <w:qFormat/>
    <w:rsid w:val="006150AD"/>
    <w:pPr>
      <w:numPr>
        <w:numId w:val="0"/>
      </w:numPr>
    </w:pPr>
    <w:rPr>
      <w:b w:val="0"/>
    </w:rPr>
  </w:style>
  <w:style w:type="paragraph" w:customStyle="1" w:styleId="uc2-ar-titre1">
    <w:name w:val="uc2-ar-titre1"/>
    <w:next w:val="uc2-ar-normal"/>
    <w:qFormat/>
    <w:rsid w:val="00A43A1F"/>
    <w:pPr>
      <w:keepNext/>
      <w:keepLines/>
      <w:numPr>
        <w:numId w:val="5"/>
      </w:numPr>
      <w:bidi/>
      <w:spacing w:before="240" w:after="60"/>
      <w:outlineLvl w:val="0"/>
    </w:pPr>
    <w:rPr>
      <w:rFonts w:ascii="Arial" w:eastAsia="Times New Roman" w:hAnsi="Arial"/>
      <w:b/>
      <w:noProof/>
      <w:color w:val="006407"/>
      <w:sz w:val="36"/>
      <w:szCs w:val="36"/>
      <w:lang w:bidi="ar-JO"/>
    </w:rPr>
  </w:style>
  <w:style w:type="paragraph" w:customStyle="1" w:styleId="uc2-ar-liste">
    <w:name w:val="uc2-ar-liste"/>
    <w:basedOn w:val="Normal"/>
    <w:qFormat/>
    <w:rsid w:val="00EB7B38"/>
    <w:pPr>
      <w:numPr>
        <w:numId w:val="3"/>
      </w:numPr>
      <w:ind w:left="424"/>
    </w:pPr>
  </w:style>
  <w:style w:type="paragraph" w:customStyle="1" w:styleId="uc2-ar-tableau-entete">
    <w:name w:val="uc2-ar-tableau-entete"/>
    <w:basedOn w:val="uc2-tableau-entete"/>
    <w:qFormat/>
    <w:rsid w:val="00EB0694"/>
    <w:pPr>
      <w:bidi/>
    </w:pPr>
    <w:rPr>
      <w:sz w:val="24"/>
      <w:szCs w:val="24"/>
      <w:lang w:bidi="ar-DZ"/>
    </w:rPr>
  </w:style>
  <w:style w:type="paragraph" w:customStyle="1" w:styleId="uc2-ar-grand-titre1">
    <w:name w:val="uc2-ar-grand-titre1"/>
    <w:basedOn w:val="Normal"/>
    <w:qFormat/>
    <w:rsid w:val="006E53B8"/>
    <w:pPr>
      <w:spacing w:before="120" w:after="120"/>
      <w:jc w:val="center"/>
    </w:pPr>
    <w:rPr>
      <w:rFonts w:ascii="Calibri Light" w:hAnsi="Calibri Light" w:cs="Calibri Light"/>
      <w:b/>
      <w:bCs/>
      <w:color w:val="FFFFFF"/>
      <w:sz w:val="44"/>
      <w:szCs w:val="40"/>
      <w:lang w:val="fr-FR" w:bidi="ar-DZ"/>
    </w:rPr>
  </w:style>
  <w:style w:type="paragraph" w:customStyle="1" w:styleId="uc2-ar-grand-titre2">
    <w:name w:val="uc2-ar-grand-titre2"/>
    <w:basedOn w:val="Normal"/>
    <w:qFormat/>
    <w:rsid w:val="006E53B8"/>
    <w:pPr>
      <w:spacing w:after="60"/>
      <w:jc w:val="center"/>
    </w:pPr>
    <w:rPr>
      <w:rFonts w:ascii="Calibri Light" w:hAnsi="Calibri Light" w:cs="Calibri Light"/>
      <w:b/>
      <w:bCs/>
      <w:color w:val="006407"/>
      <w:sz w:val="32"/>
      <w:szCs w:val="32"/>
      <w:lang w:val="fr-FR" w:bidi="ar-JO"/>
    </w:rPr>
  </w:style>
  <w:style w:type="paragraph" w:customStyle="1" w:styleId="uc2-ar-figure">
    <w:name w:val="uc2-ar-figure"/>
    <w:basedOn w:val="uc2-ar-normal"/>
    <w:qFormat/>
    <w:rsid w:val="00D53159"/>
    <w:pPr>
      <w:spacing w:before="120" w:line="240" w:lineRule="auto"/>
      <w:jc w:val="center"/>
    </w:pPr>
    <w:rPr>
      <w:lang w:val="fr-FR" w:eastAsia="fr-FR"/>
    </w:rPr>
  </w:style>
  <w:style w:type="paragraph" w:customStyle="1" w:styleId="uc2-ar-titre30">
    <w:name w:val="uc2-ar-titre3*"/>
    <w:basedOn w:val="uc2-ar-titre3"/>
    <w:next w:val="uc2-ar-normal"/>
    <w:qFormat/>
    <w:rsid w:val="00334D47"/>
    <w:pPr>
      <w:numPr>
        <w:ilvl w:val="0"/>
        <w:numId w:val="0"/>
      </w:numPr>
    </w:pPr>
  </w:style>
  <w:style w:type="paragraph" w:customStyle="1" w:styleId="uc2-ar-titre3">
    <w:name w:val="uc2-ar-titre3"/>
    <w:basedOn w:val="uc2-ar-titre2"/>
    <w:next w:val="uc2-ar-normal"/>
    <w:qFormat/>
    <w:rsid w:val="00334D47"/>
    <w:pPr>
      <w:numPr>
        <w:ilvl w:val="2"/>
      </w:numPr>
      <w:tabs>
        <w:tab w:val="right" w:pos="849"/>
      </w:tabs>
      <w:spacing w:before="120"/>
      <w:ind w:left="992" w:hanging="992"/>
      <w:outlineLvl w:val="2"/>
    </w:pPr>
    <w:rPr>
      <w:sz w:val="28"/>
      <w:szCs w:val="28"/>
    </w:rPr>
  </w:style>
  <w:style w:type="paragraph" w:customStyle="1" w:styleId="uc2-ar-titre20">
    <w:name w:val="uc2-ar-titre2*"/>
    <w:basedOn w:val="uc2-ar-titre2"/>
    <w:next w:val="uc2-ar-normal"/>
    <w:qFormat/>
    <w:rsid w:val="00334D47"/>
    <w:pPr>
      <w:numPr>
        <w:ilvl w:val="0"/>
        <w:numId w:val="0"/>
      </w:numPr>
    </w:pPr>
  </w:style>
  <w:style w:type="paragraph" w:customStyle="1" w:styleId="uc2-ar-liste-enum">
    <w:name w:val="uc2-ar-liste-enum"/>
    <w:basedOn w:val="Normal"/>
    <w:qFormat/>
    <w:rsid w:val="006E53B8"/>
    <w:pPr>
      <w:numPr>
        <w:numId w:val="4"/>
      </w:numPr>
      <w:spacing w:after="60"/>
      <w:ind w:left="375" w:hanging="301"/>
      <w:jc w:val="both"/>
      <w:outlineLvl w:val="4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34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734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En-tte">
    <w:name w:val="header"/>
    <w:basedOn w:val="Normal"/>
    <w:link w:val="En-tteCar"/>
    <w:unhideWhenUsed/>
    <w:rsid w:val="000838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838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0838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38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01">
    <w:name w:val="fontstyle01"/>
    <w:basedOn w:val="Policepardfaut"/>
    <w:rsid w:val="00447831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paragraph" w:customStyle="1" w:styleId="moodle-ar-tableau-entete">
    <w:name w:val="moodle-ar-tableau-entete"/>
    <w:basedOn w:val="Normal"/>
    <w:qFormat/>
    <w:rsid w:val="00353268"/>
    <w:pPr>
      <w:jc w:val="center"/>
    </w:pPr>
    <w:rPr>
      <w:rFonts w:ascii="Arial" w:hAnsi="Arial" w:cs="Arial"/>
      <w:b/>
      <w:bCs/>
      <w:color w:val="FFFFFF"/>
      <w:lang w:val="fr-FR" w:bidi="ar-DZ"/>
    </w:rPr>
  </w:style>
  <w:style w:type="character" w:customStyle="1" w:styleId="fontstyle21">
    <w:name w:val="fontstyle21"/>
    <w:basedOn w:val="Policepardfaut"/>
    <w:rsid w:val="00FA2BDE"/>
    <w:rPr>
      <w:rFonts w:ascii="TraditionalArabic" w:hAnsi="Traditional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9823F4"/>
    <w:rPr>
      <w:rFonts w:ascii="Arabic Transparent" w:hAnsi="Arabic Transparent" w:cs="Arabic Transparen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Ahmed-Chawki Chaouche</dc:creator>
  <cp:lastModifiedBy>laptop</cp:lastModifiedBy>
  <cp:revision>7</cp:revision>
  <cp:lastPrinted>2017-03-17T14:08:00Z</cp:lastPrinted>
  <dcterms:created xsi:type="dcterms:W3CDTF">2020-12-06T14:34:00Z</dcterms:created>
  <dcterms:modified xsi:type="dcterms:W3CDTF">2021-02-06T13:59:00Z</dcterms:modified>
</cp:coreProperties>
</file>