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tabs>
          <w:tab w:val="right" w:pos="1678"/>
        </w:tabs>
        <w:bidi/>
        <w:ind w:left="540"/>
        <w:jc w:val="right"/>
        <w:rPr>
          <w:rFonts w:cs="Simplified Arabic"/>
          <w:b/>
          <w:bCs/>
          <w:color w:val="000000"/>
          <w:sz w:val="32"/>
          <w:szCs w:val="32"/>
          <w:rtl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>المحاضرة الثانية</w:t>
      </w:r>
    </w:p>
    <w:p w:rsidR="00252981" w:rsidRPr="00B144E0" w:rsidRDefault="00252981" w:rsidP="00252981">
      <w:pPr>
        <w:tabs>
          <w:tab w:val="right" w:pos="1678"/>
        </w:tabs>
        <w:bidi/>
        <w:ind w:left="540"/>
        <w:jc w:val="both"/>
        <w:rPr>
          <w:rFonts w:cs="Simplified Arabic"/>
          <w:b/>
          <w:bCs/>
          <w:color w:val="000000"/>
          <w:sz w:val="32"/>
          <w:szCs w:val="32"/>
          <w:rtl/>
        </w:rPr>
      </w:pPr>
      <w:r w:rsidRPr="00B144E0">
        <w:rPr>
          <w:rFonts w:cs="Simplified Arabic" w:hint="cs"/>
          <w:b/>
          <w:bCs/>
          <w:color w:val="000000"/>
          <w:sz w:val="32"/>
          <w:szCs w:val="32"/>
          <w:rtl/>
        </w:rPr>
        <w:t>مفهوم مصطلح الجهل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>لقد اقترن مفهوم الجهل في أذهان الناس مرادفا للأمية , أي عدم المقدرة على القراءة والكتابة والواقع أن لفظة الجاهلية قد  ارتبطت بمعنى الأمية منذ القدم.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 xml:space="preserve">   ففي كتابه البيان والتبيين يرى الجاحظ , وهو بصدد الحديث عن العرب قبل الإسلام أنهم ( كانوا أميين لا يكتبون )  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customMarkFollows="1" w:id="2"/>
        <w:t>(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id="3"/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t>)</w:t>
      </w:r>
      <w:r w:rsidRPr="00DC486C">
        <w:rPr>
          <w:rFonts w:cs="Simplified Arabic" w:hint="cs"/>
          <w:color w:val="000000"/>
          <w:sz w:val="32"/>
          <w:szCs w:val="32"/>
          <w:rtl/>
        </w:rPr>
        <w:t>.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 xml:space="preserve">    يؤيده ابن عبد ربه في عقده , حيث يرى أنه لم يكن من الجاهليين من يعرف القراءة والكتابة قبل الإسلام إلا قلة 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customMarkFollows="1" w:id="4"/>
        <w:t>(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id="5"/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t>)</w:t>
      </w:r>
      <w:r w:rsidRPr="00DC486C">
        <w:rPr>
          <w:rFonts w:cs="Simplified Arabic" w:hint="cs"/>
          <w:color w:val="000000"/>
          <w:sz w:val="32"/>
          <w:szCs w:val="32"/>
          <w:rtl/>
        </w:rPr>
        <w:t>.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 xml:space="preserve">   أما ناصر الدين الأسد فيفهم ( معنى الجاهلية بعيدا عن معنى الأمية كما وهم بعض الدارسين بل { يراها } متصلة بمعنى الأمية الدينية , ويأخذ على الدارسين القدامى ميلهم إلى تجهيل الجاهلية , أي تجهيل العصر الجاهلي جملة , حيث يصفون العرب بأنهم كانوا أمة جاهلة لاحظ لها من علم أو معرفة أو كتابة, { وينبه } إلى أن القرآن قد وصف العرب بأنهم أمة أمية في قوله تعالى:( </w:t>
      </w:r>
      <w:r w:rsidRPr="00DC486C">
        <w:rPr>
          <w:rFonts w:cs="Simplified Arabic" w:hint="cs"/>
          <w:b/>
          <w:bCs/>
          <w:color w:val="000000"/>
          <w:sz w:val="32"/>
          <w:szCs w:val="32"/>
          <w:rtl/>
        </w:rPr>
        <w:t>هو الذي بعث في الأميين رسولا منهم</w:t>
      </w:r>
      <w:r w:rsidRPr="00DC486C">
        <w:rPr>
          <w:rFonts w:cs="Simplified Arabic" w:hint="cs"/>
          <w:color w:val="000000"/>
          <w:sz w:val="32"/>
          <w:szCs w:val="32"/>
          <w:rtl/>
        </w:rPr>
        <w:t xml:space="preserve"> )الجمعة.2.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 xml:space="preserve"> لكنه يعتقد أن الأمية المقصودة { في الاية} ليست الأمية العلمية , وإنما هي الأمية الدينية  أي أنهم لم يكن لهم قبل القرآن الكريم كتاب ديني , ومن هنا كانوا أميين دينيا )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customMarkFollows="1" w:id="6"/>
        <w:t>(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id="7"/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t>)</w:t>
      </w:r>
      <w:r w:rsidRPr="00DC486C">
        <w:rPr>
          <w:rFonts w:cs="Simplified Arabic" w:hint="cs"/>
          <w:color w:val="000000"/>
          <w:sz w:val="32"/>
          <w:szCs w:val="32"/>
          <w:rtl/>
        </w:rPr>
        <w:t xml:space="preserve">.  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lastRenderedPageBreak/>
        <w:t xml:space="preserve">    وهو الرأي الذي مال إليه " فيليب حتي"  , وذلك عندما رأى أن ( الجاهلية في المعنى الصحيح هي ذلك العصر الذي لم يكن لبلاد العرب فيه ناموس وازع , ولا نبي ملهم ولاكتاب منزل ) 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customMarkFollows="1" w:id="8"/>
        <w:t>(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id="9"/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t>)</w:t>
      </w:r>
      <w:r w:rsidRPr="00DC486C">
        <w:rPr>
          <w:rFonts w:cs="Simplified Arabic" w:hint="cs"/>
          <w:color w:val="000000"/>
          <w:sz w:val="32"/>
          <w:szCs w:val="32"/>
          <w:rtl/>
        </w:rPr>
        <w:t>.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 xml:space="preserve">  لقد أولى القرآن الكريم لفظة  " الأمية " عناية خاصة , وذلك عندما وصف بها خير الأنام المبعوث من الأميين إليهم رسولا .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rPr>
          <w:rFonts w:cs="Simplified Arabic"/>
          <w:color w:val="000000"/>
          <w:sz w:val="32"/>
          <w:szCs w:val="32"/>
          <w:rtl/>
        </w:rPr>
      </w:pPr>
      <w:r w:rsidRPr="005740AC">
        <w:rPr>
          <w:rFonts w:cs="Simplified Arabic" w:hint="cs"/>
          <w:color w:val="000000"/>
          <w:sz w:val="32"/>
          <w:szCs w:val="32"/>
          <w:rtl/>
        </w:rPr>
        <w:t>إن لفظة الأميين الواردة في القرآن الكريم</w:t>
      </w:r>
      <w:r w:rsidRPr="005740AC">
        <w:rPr>
          <w:rStyle w:val="Appelnotedebasdep"/>
          <w:rFonts w:cs="Simplified Arabic"/>
          <w:color w:val="000000"/>
          <w:sz w:val="32"/>
          <w:szCs w:val="32"/>
          <w:rtl/>
        </w:rPr>
        <w:footnoteReference w:customMarkFollows="1" w:id="10"/>
        <w:t>(</w:t>
      </w:r>
      <w:r w:rsidRPr="005740AC">
        <w:rPr>
          <w:rStyle w:val="Appelnotedebasdep"/>
          <w:rFonts w:cs="Simplified Arabic"/>
          <w:color w:val="000000"/>
          <w:sz w:val="32"/>
          <w:szCs w:val="32"/>
          <w:rtl/>
        </w:rPr>
        <w:footnoteReference w:id="11"/>
      </w:r>
      <w:r w:rsidRPr="005740AC">
        <w:rPr>
          <w:rStyle w:val="Appelnotedebasdep"/>
          <w:rFonts w:cs="Simplified Arabic"/>
          <w:color w:val="000000"/>
          <w:sz w:val="32"/>
          <w:szCs w:val="32"/>
          <w:rtl/>
        </w:rPr>
        <w:t>)</w:t>
      </w:r>
      <w:r w:rsidRPr="005740AC">
        <w:rPr>
          <w:rFonts w:cs="Simplified Arabic" w:hint="cs"/>
          <w:color w:val="000000"/>
          <w:sz w:val="32"/>
          <w:szCs w:val="32"/>
          <w:rtl/>
        </w:rPr>
        <w:t xml:space="preserve"> , يعني بها عز وعلا العرب الذين عاصروا الرسول </w:t>
      </w:r>
      <w:r w:rsidRPr="005740AC">
        <w:rPr>
          <w:rFonts w:cs="Simplified Arabic"/>
          <w:color w:val="000000"/>
          <w:sz w:val="32"/>
          <w:szCs w:val="32"/>
          <w:rtl/>
        </w:rPr>
        <w:t>–</w:t>
      </w:r>
      <w:r w:rsidRPr="005740AC">
        <w:rPr>
          <w:rFonts w:cs="Simplified Arabic" w:hint="cs"/>
          <w:color w:val="000000"/>
          <w:sz w:val="32"/>
          <w:szCs w:val="32"/>
          <w:rtl/>
        </w:rPr>
        <w:t xml:space="preserve"> صلى الله عليه وسلم </w:t>
      </w:r>
      <w:r w:rsidRPr="005740AC">
        <w:rPr>
          <w:rFonts w:cs="Simplified Arabic"/>
          <w:color w:val="000000"/>
          <w:sz w:val="32"/>
          <w:szCs w:val="32"/>
          <w:rtl/>
        </w:rPr>
        <w:t>–</w:t>
      </w:r>
      <w:r w:rsidRPr="005740AC">
        <w:rPr>
          <w:rFonts w:cs="Simplified Arabic" w:hint="cs"/>
          <w:color w:val="000000"/>
          <w:sz w:val="32"/>
          <w:szCs w:val="32"/>
          <w:rtl/>
        </w:rPr>
        <w:t xml:space="preserve"> لكونهم عرفوا  بالأمية وهي عدم معرفة</w:t>
      </w:r>
      <w:r w:rsidRPr="005740AC">
        <w:rPr>
          <w:rFonts w:cs="Simplified Arabic" w:hint="cs"/>
          <w:color w:val="000000"/>
          <w:sz w:val="44"/>
          <w:szCs w:val="44"/>
          <w:rtl/>
        </w:rPr>
        <w:t xml:space="preserve"> </w:t>
      </w:r>
      <w:r w:rsidRPr="00DC486C">
        <w:rPr>
          <w:rFonts w:cs="Simplified Arabic" w:hint="cs"/>
          <w:color w:val="000000"/>
          <w:sz w:val="32"/>
          <w:szCs w:val="32"/>
          <w:rtl/>
        </w:rPr>
        <w:t xml:space="preserve">أصول القراءة والكتابة و بخلاف ما ذهب إليه ناصر الدين الأسد, الذي لم يحسم المسألة , إذ حصرها في الأمية الدينية فحسب .    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 xml:space="preserve">   غير أن استقراء معاني هذه اللفظة ودلالاتها التي تضمنتها مختلف السياقات القرآنية تشير إلى أن الأمية هي حقا عدم معرفة القراءة والكتابة. وقد جاء في الحديث الشريف :</w:t>
      </w:r>
    </w:p>
    <w:p w:rsidR="00252981" w:rsidRDefault="00252981" w:rsidP="00252981">
      <w:pPr>
        <w:tabs>
          <w:tab w:val="right" w:pos="1678"/>
        </w:tabs>
        <w:bidi/>
        <w:ind w:left="540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 xml:space="preserve"> ( نحن أمة أمية  لانكتب , ولانحسب ) 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customMarkFollows="1" w:id="12"/>
        <w:t>(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id="13"/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t>)</w:t>
      </w:r>
      <w:r w:rsidRPr="00DC486C">
        <w:rPr>
          <w:rFonts w:cs="Simplified Arabic" w:hint="cs"/>
          <w:color w:val="000000"/>
          <w:sz w:val="32"/>
          <w:szCs w:val="32"/>
          <w:rtl/>
        </w:rPr>
        <w:t xml:space="preserve"> .</w:t>
      </w:r>
    </w:p>
    <w:p w:rsidR="00252981" w:rsidRPr="00DC486C" w:rsidRDefault="00252981" w:rsidP="00252981">
      <w:pPr>
        <w:tabs>
          <w:tab w:val="right" w:pos="1678"/>
        </w:tabs>
        <w:bidi/>
        <w:ind w:left="540"/>
        <w:rPr>
          <w:rFonts w:cs="Simplified Arabic"/>
          <w:color w:val="000000"/>
          <w:sz w:val="32"/>
          <w:szCs w:val="32"/>
          <w:rtl/>
        </w:rPr>
      </w:pPr>
    </w:p>
    <w:p w:rsidR="00252981" w:rsidRDefault="00252981" w:rsidP="00252981">
      <w:pPr>
        <w:tabs>
          <w:tab w:val="right" w:pos="1678"/>
        </w:tabs>
        <w:bidi/>
        <w:jc w:val="both"/>
        <w:rPr>
          <w:rFonts w:cs="Simplified Arabic"/>
          <w:color w:val="000000"/>
          <w:sz w:val="32"/>
          <w:szCs w:val="32"/>
          <w:rtl/>
        </w:rPr>
      </w:pPr>
    </w:p>
    <w:p w:rsidR="00252981" w:rsidRPr="00DC486C" w:rsidRDefault="00252981" w:rsidP="00252981">
      <w:pPr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 xml:space="preserve">  إن المتدبر لمعاني هذه اللفظة الواردة في مختلف السياقات للذكر الحكيم  </w:t>
      </w:r>
      <w:r w:rsidRPr="00DC486C">
        <w:rPr>
          <w:rStyle w:val="Appelnotedebasdep"/>
          <w:rFonts w:cs="Simplified Arabic"/>
          <w:color w:val="000000"/>
          <w:sz w:val="32"/>
          <w:szCs w:val="32"/>
          <w:rtl/>
        </w:rPr>
        <w:footnoteReference w:id="14"/>
      </w:r>
      <w:r w:rsidRPr="00DC486C">
        <w:rPr>
          <w:rFonts w:cs="Simplified Arabic" w:hint="cs"/>
          <w:color w:val="000000"/>
          <w:sz w:val="32"/>
          <w:szCs w:val="32"/>
          <w:rtl/>
        </w:rPr>
        <w:t xml:space="preserve"> يجدها تصب في دائرة الغطرسة والسفاهة في القول والفعل , وما كان يتصف به الفرد العربي قبل الإسلام من نز</w:t>
      </w:r>
      <w:r w:rsidRPr="00DC486C">
        <w:rPr>
          <w:rFonts w:cs="Simplified Arabic" w:hint="eastAsia"/>
          <w:color w:val="000000"/>
          <w:sz w:val="32"/>
          <w:szCs w:val="32"/>
          <w:rtl/>
        </w:rPr>
        <w:t>ق</w:t>
      </w:r>
      <w:r w:rsidRPr="00DC486C">
        <w:rPr>
          <w:rFonts w:cs="Simplified Arabic" w:hint="cs"/>
          <w:color w:val="000000"/>
          <w:sz w:val="32"/>
          <w:szCs w:val="32"/>
          <w:rtl/>
        </w:rPr>
        <w:t xml:space="preserve"> وطيش , وكذا الجهل بحقيقة  الأشياء, والتعصب الشديد لجملة من الأحكام والقيم كان يؤمن بها , ولا يتسامح في تجاوزها لأي كان , كما لا يسم</w:t>
      </w:r>
      <w:r w:rsidRPr="00DC486C">
        <w:rPr>
          <w:rFonts w:cs="Simplified Arabic" w:hint="eastAsia"/>
          <w:color w:val="000000"/>
          <w:sz w:val="32"/>
          <w:szCs w:val="32"/>
          <w:rtl/>
        </w:rPr>
        <w:t>ح</w:t>
      </w:r>
      <w:r w:rsidRPr="00DC486C">
        <w:rPr>
          <w:rFonts w:cs="Simplified Arabic" w:hint="cs"/>
          <w:color w:val="000000"/>
          <w:sz w:val="32"/>
          <w:szCs w:val="32"/>
          <w:rtl/>
        </w:rPr>
        <w:t xml:space="preserve"> لنفسه كذلك تجاوزها , وهي كثيرة ومتعددة , بعضها يرتبط بمعتقداته الدينية , وبعضها الآخر له علاقة بقيم منها ما ه</w:t>
      </w:r>
      <w:r w:rsidRPr="00DC486C">
        <w:rPr>
          <w:rFonts w:cs="Simplified Arabic" w:hint="eastAsia"/>
          <w:color w:val="000000"/>
          <w:sz w:val="32"/>
          <w:szCs w:val="32"/>
          <w:rtl/>
        </w:rPr>
        <w:t>و</w:t>
      </w:r>
      <w:r w:rsidRPr="00DC486C">
        <w:rPr>
          <w:rFonts w:cs="Simplified Arabic" w:hint="cs"/>
          <w:color w:val="000000"/>
          <w:sz w:val="32"/>
          <w:szCs w:val="32"/>
          <w:rtl/>
        </w:rPr>
        <w:t xml:space="preserve"> إيجابي كالقيم المتوارثة , كالشرف والإغاثة , وغير ذلك , ومنه ما هو سلبي كاستعباد الضعيف واحتقار الفقير ..وما إلى ذلك .</w:t>
      </w:r>
    </w:p>
    <w:p w:rsidR="00252981" w:rsidRDefault="00252981" w:rsidP="00252981">
      <w:pPr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  <w:r w:rsidRPr="00DC486C">
        <w:rPr>
          <w:rFonts w:cs="Simplified Arabic" w:hint="cs"/>
          <w:color w:val="000000"/>
          <w:sz w:val="32"/>
          <w:szCs w:val="32"/>
          <w:rtl/>
        </w:rPr>
        <w:t xml:space="preserve">    إن الجهل ليس حالة ثابتة عند العرب , بل هو وصف عارض لبعض حالاتهم في ظروف ومواقف معينة.</w:t>
      </w:r>
    </w:p>
    <w:p w:rsidR="00252981" w:rsidRDefault="00252981" w:rsidP="00252981">
      <w:pPr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</w:p>
    <w:p w:rsidR="00252981" w:rsidRDefault="00252981" w:rsidP="00252981">
      <w:pPr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</w:p>
    <w:p w:rsidR="00252981" w:rsidRDefault="00252981" w:rsidP="00252981">
      <w:pPr>
        <w:bidi/>
        <w:ind w:left="540"/>
        <w:jc w:val="both"/>
        <w:rPr>
          <w:rFonts w:cs="Simplified Arabic"/>
          <w:color w:val="000000"/>
          <w:sz w:val="32"/>
          <w:szCs w:val="32"/>
          <w:rtl/>
        </w:rPr>
      </w:pPr>
    </w:p>
    <w:p w:rsidR="008F465D" w:rsidRDefault="008F465D" w:rsidP="00252981">
      <w:pPr>
        <w:bidi/>
      </w:pPr>
    </w:p>
    <w:sectPr w:rsidR="008F465D" w:rsidSect="008F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EC" w:rsidRDefault="008225EC" w:rsidP="00252981">
      <w:pPr>
        <w:spacing w:after="0" w:line="240" w:lineRule="auto"/>
      </w:pPr>
      <w:r>
        <w:separator/>
      </w:r>
    </w:p>
  </w:endnote>
  <w:endnote w:type="continuationSeparator" w:id="1">
    <w:p w:rsidR="008225EC" w:rsidRDefault="008225EC" w:rsidP="0025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EC" w:rsidRDefault="008225EC" w:rsidP="00252981">
      <w:pPr>
        <w:spacing w:after="0" w:line="240" w:lineRule="auto"/>
      </w:pPr>
      <w:r>
        <w:separator/>
      </w:r>
    </w:p>
  </w:footnote>
  <w:footnote w:type="continuationSeparator" w:id="1">
    <w:p w:rsidR="008225EC" w:rsidRDefault="008225EC" w:rsidP="00252981">
      <w:pPr>
        <w:spacing w:after="0" w:line="240" w:lineRule="auto"/>
      </w:pPr>
      <w:r>
        <w:continuationSeparator/>
      </w:r>
    </w:p>
  </w:footnote>
  <w:footnote w:id="2">
    <w:p w:rsidR="00252981" w:rsidRDefault="00252981" w:rsidP="00252981">
      <w:pPr>
        <w:pStyle w:val="Notedebasdepage"/>
        <w:bidi/>
        <w:rPr>
          <w:sz w:val="24"/>
          <w:szCs w:val="24"/>
        </w:rPr>
      </w:pPr>
    </w:p>
  </w:footnote>
  <w:footnote w:id="3"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  <w:r w:rsidRPr="009431A4">
        <w:rPr>
          <w:rStyle w:val="Appelnotedebasdep"/>
          <w:rFonts w:cs="Simplified Arabic"/>
          <w:sz w:val="24"/>
          <w:szCs w:val="24"/>
        </w:rPr>
        <w:footnoteRef/>
      </w:r>
      <w:r w:rsidRPr="009431A4">
        <w:rPr>
          <w:rFonts w:cs="Simplified Arabic"/>
          <w:sz w:val="24"/>
          <w:szCs w:val="24"/>
        </w:rPr>
        <w:t xml:space="preserve"> </w:t>
      </w:r>
      <w:r w:rsidRPr="009431A4">
        <w:rPr>
          <w:rFonts w:cs="Simplified Arabic" w:hint="cs"/>
          <w:sz w:val="24"/>
          <w:szCs w:val="24"/>
          <w:rtl/>
        </w:rPr>
        <w:t>الجاحظ ( أبو عثمان بن بحر ) البيان والتبيين . ج3. .  ص28</w:t>
      </w:r>
    </w:p>
  </w:footnote>
  <w:footnote w:id="4"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</w:p>
  </w:footnote>
  <w:footnote w:id="5"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  <w:r w:rsidRPr="009431A4">
        <w:rPr>
          <w:rStyle w:val="Appelnotedebasdep"/>
          <w:rFonts w:cs="Simplified Arabic"/>
          <w:sz w:val="24"/>
          <w:szCs w:val="24"/>
        </w:rPr>
        <w:footnoteRef/>
      </w:r>
      <w:r w:rsidRPr="009431A4">
        <w:rPr>
          <w:rFonts w:cs="Simplified Arabic"/>
          <w:sz w:val="24"/>
          <w:szCs w:val="24"/>
        </w:rPr>
        <w:t xml:space="preserve"> </w:t>
      </w:r>
      <w:r w:rsidRPr="009431A4">
        <w:rPr>
          <w:rFonts w:cs="Simplified Arabic" w:hint="cs"/>
          <w:sz w:val="24"/>
          <w:szCs w:val="24"/>
          <w:rtl/>
        </w:rPr>
        <w:t xml:space="preserve">ابن عبد ربه ( أحمد بن محمد ) / العقد الفريد . طبعة لجنة التأليف والترجمة والنشر. ج4. ص 242    </w:t>
      </w:r>
    </w:p>
  </w:footnote>
  <w:footnote w:id="6"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                         </w:t>
      </w:r>
    </w:p>
  </w:footnote>
  <w:footnote w:id="7"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  <w:r w:rsidRPr="009431A4">
        <w:rPr>
          <w:rStyle w:val="Appelnotedebasdep"/>
          <w:rFonts w:cs="Simplified Arabic"/>
          <w:sz w:val="24"/>
          <w:szCs w:val="24"/>
        </w:rPr>
        <w:footnoteRef/>
      </w:r>
      <w:r w:rsidRPr="009431A4">
        <w:rPr>
          <w:rFonts w:cs="Simplified Arabic"/>
          <w:sz w:val="24"/>
          <w:szCs w:val="24"/>
        </w:rPr>
        <w:t xml:space="preserve"> </w:t>
      </w:r>
      <w:r w:rsidRPr="009431A4">
        <w:rPr>
          <w:rFonts w:cs="Simplified Arabic" w:hint="cs"/>
          <w:sz w:val="24"/>
          <w:szCs w:val="24"/>
          <w:rtl/>
        </w:rPr>
        <w:t>نقلا عن :عفت الشرقاوي / دروس ونصوص في قضايا الأدب العربي . دارالنهضة العربية. بيروت.1979.ص</w:t>
      </w:r>
    </w:p>
  </w:footnote>
  <w:footnote w:id="8"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</w:p>
  </w:footnote>
  <w:footnote w:id="9"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  <w:r w:rsidRPr="009431A4">
        <w:rPr>
          <w:rStyle w:val="Appelnotedebasdep"/>
          <w:rFonts w:cs="Simplified Arabic"/>
          <w:sz w:val="24"/>
          <w:szCs w:val="24"/>
        </w:rPr>
        <w:footnoteRef/>
      </w:r>
      <w:r w:rsidRPr="009431A4">
        <w:rPr>
          <w:rFonts w:cs="Simplified Arabic" w:hint="cs"/>
          <w:sz w:val="24"/>
          <w:szCs w:val="24"/>
          <w:rtl/>
        </w:rPr>
        <w:t xml:space="preserve">  فيايب حتي / تاريخ العرب . ص 12. نقلا عن عفت الشرقاوي / دروس ونصوص في قضايا الأدب                الجاهلي..ص 35. .</w:t>
      </w:r>
    </w:p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</w:p>
  </w:footnote>
  <w:footnote w:id="10">
    <w:p w:rsidR="00252981" w:rsidRPr="009431A4" w:rsidRDefault="00252981" w:rsidP="00252981">
      <w:pPr>
        <w:pStyle w:val="Notedebasdepage"/>
        <w:bidi/>
        <w:jc w:val="both"/>
        <w:rPr>
          <w:rFonts w:cs="Simplified Arabic"/>
          <w:sz w:val="24"/>
          <w:szCs w:val="24"/>
          <w:rtl/>
        </w:rPr>
      </w:pPr>
    </w:p>
  </w:footnote>
  <w:footnote w:id="11">
    <w:p w:rsidR="00252981" w:rsidRPr="009431A4" w:rsidRDefault="00252981" w:rsidP="00252981">
      <w:pPr>
        <w:pStyle w:val="Notedebasdepage"/>
        <w:bidi/>
        <w:jc w:val="both"/>
        <w:rPr>
          <w:rFonts w:cs="Simplified Arabic"/>
          <w:sz w:val="24"/>
          <w:szCs w:val="24"/>
          <w:rtl/>
        </w:rPr>
      </w:pPr>
      <w:r w:rsidRPr="009431A4">
        <w:rPr>
          <w:rStyle w:val="Appelnotedebasdep"/>
          <w:rFonts w:cs="Simplified Arabic"/>
          <w:sz w:val="24"/>
          <w:szCs w:val="24"/>
        </w:rPr>
        <w:footnoteRef/>
      </w:r>
      <w:r w:rsidRPr="009431A4">
        <w:rPr>
          <w:rFonts w:cs="Simplified Arabic"/>
          <w:sz w:val="24"/>
          <w:szCs w:val="24"/>
        </w:rPr>
        <w:t xml:space="preserve"> </w:t>
      </w:r>
      <w:r w:rsidRPr="009431A4">
        <w:rPr>
          <w:rFonts w:cs="Simplified Arabic" w:hint="cs"/>
          <w:sz w:val="24"/>
          <w:szCs w:val="24"/>
          <w:rtl/>
        </w:rPr>
        <w:t xml:space="preserve">من الآيات القرآنية التي تضمنت لفظة الأميين , قوله تعالى : { وقل للذين أوتوا الكتاب والأميين أأسلمتم} </w:t>
      </w:r>
    </w:p>
    <w:p w:rsidR="00252981" w:rsidRPr="009431A4" w:rsidRDefault="00252981" w:rsidP="00252981">
      <w:pPr>
        <w:pStyle w:val="Notedebasdepage"/>
        <w:bidi/>
        <w:jc w:val="both"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           آل عمران .الآية 20.</w:t>
      </w:r>
    </w:p>
    <w:p w:rsidR="00252981" w:rsidRPr="009431A4" w:rsidRDefault="00252981" w:rsidP="00252981">
      <w:pPr>
        <w:pStyle w:val="Notedebasdepage"/>
        <w:bidi/>
        <w:jc w:val="both"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     وقوله كذلك : { وذلك بأنهم قالوا لك ليس في الأميين سبيل } آل عمران. الآية 75.</w:t>
      </w:r>
    </w:p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</w:p>
  </w:footnote>
  <w:footnote w:id="12">
    <w:p w:rsidR="00252981" w:rsidRPr="009431A4" w:rsidRDefault="00252981" w:rsidP="00252981">
      <w:pPr>
        <w:pStyle w:val="Notedebasdepage"/>
        <w:bidi/>
        <w:jc w:val="both"/>
        <w:rPr>
          <w:rFonts w:cs="Simplified Arabic"/>
          <w:sz w:val="24"/>
          <w:szCs w:val="24"/>
        </w:rPr>
      </w:pPr>
    </w:p>
  </w:footnote>
  <w:footnote w:id="13">
    <w:p w:rsidR="00252981" w:rsidRPr="009431A4" w:rsidRDefault="00252981" w:rsidP="00252981">
      <w:pPr>
        <w:pStyle w:val="Notedebasdepage"/>
        <w:bidi/>
        <w:jc w:val="both"/>
        <w:rPr>
          <w:rFonts w:cs="Simplified Arabic"/>
          <w:sz w:val="24"/>
          <w:szCs w:val="24"/>
          <w:rtl/>
        </w:rPr>
      </w:pPr>
      <w:r w:rsidRPr="009431A4">
        <w:rPr>
          <w:rStyle w:val="Appelnotedebasdep"/>
          <w:rFonts w:cs="Simplified Arabic"/>
          <w:sz w:val="24"/>
          <w:szCs w:val="24"/>
        </w:rPr>
        <w:footnoteRef/>
      </w:r>
      <w:r w:rsidRPr="009431A4">
        <w:rPr>
          <w:rFonts w:cs="Simplified Arabic"/>
          <w:sz w:val="24"/>
          <w:szCs w:val="24"/>
        </w:rPr>
        <w:t xml:space="preserve"> </w:t>
      </w:r>
      <w:r w:rsidRPr="009431A4">
        <w:rPr>
          <w:rFonts w:cs="Simplified Arabic" w:hint="cs"/>
          <w:sz w:val="24"/>
          <w:szCs w:val="24"/>
          <w:rtl/>
        </w:rPr>
        <w:t xml:space="preserve">القسطلاني " أبو العباس شهاب الدين " / إرشاد الساري لشرح صحيح البخاري. دار الكتاب العربي . </w:t>
      </w:r>
    </w:p>
    <w:p w:rsidR="00252981" w:rsidRPr="009431A4" w:rsidRDefault="00252981" w:rsidP="00252981">
      <w:pPr>
        <w:pStyle w:val="Notedebasdepage"/>
        <w:bidi/>
        <w:jc w:val="both"/>
        <w:rPr>
          <w:rFonts w:cs="Simplified Arabic"/>
          <w:sz w:val="24"/>
          <w:szCs w:val="24"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     بيروت.لبنان. ج3. ص359. </w:t>
      </w:r>
    </w:p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</w:p>
  </w:footnote>
  <w:footnote w:id="14">
    <w:p w:rsidR="00252981" w:rsidRPr="009431A4" w:rsidRDefault="00252981" w:rsidP="00252981">
      <w:pPr>
        <w:pStyle w:val="Notedebasdepage"/>
        <w:bidi/>
        <w:jc w:val="both"/>
        <w:rPr>
          <w:rFonts w:cs="Simplified Arabic"/>
          <w:sz w:val="24"/>
          <w:szCs w:val="24"/>
        </w:rPr>
      </w:pPr>
      <w:r w:rsidRPr="009431A4">
        <w:rPr>
          <w:rStyle w:val="Appelnotedebasdep"/>
          <w:rFonts w:cs="Simplified Arabic"/>
          <w:sz w:val="24"/>
          <w:szCs w:val="24"/>
        </w:rPr>
        <w:footnoteRef/>
      </w:r>
      <w:r w:rsidRPr="009431A4">
        <w:rPr>
          <w:rFonts w:cs="Simplified Arabic"/>
          <w:sz w:val="24"/>
          <w:szCs w:val="24"/>
        </w:rPr>
        <w:t xml:space="preserve"> </w:t>
      </w:r>
      <w:r w:rsidRPr="009431A4">
        <w:rPr>
          <w:rFonts w:cs="Simplified Arabic" w:hint="cs"/>
          <w:sz w:val="24"/>
          <w:szCs w:val="24"/>
          <w:rtl/>
        </w:rPr>
        <w:t>{ قالوا أأتتخذنا هزؤا قال أعود بالله أن أكون من الجاهلين } البقرة. الآية  67</w:t>
      </w:r>
      <w:r w:rsidRPr="009431A4">
        <w:rPr>
          <w:rFonts w:cs="Simplified Arabic"/>
          <w:sz w:val="24"/>
          <w:szCs w:val="24"/>
        </w:rPr>
        <w:t xml:space="preserve"> </w:t>
      </w:r>
      <w:r w:rsidRPr="009431A4">
        <w:rPr>
          <w:rFonts w:cs="Simplified Arabic" w:hint="cs"/>
          <w:sz w:val="24"/>
          <w:szCs w:val="24"/>
          <w:rtl/>
        </w:rPr>
        <w:t xml:space="preserve">   </w:t>
      </w:r>
    </w:p>
    <w:p w:rsidR="00252981" w:rsidRPr="009431A4" w:rsidRDefault="00252981" w:rsidP="00252981">
      <w:pPr>
        <w:pStyle w:val="Notedebasdepage"/>
        <w:tabs>
          <w:tab w:val="right" w:pos="8788"/>
        </w:tabs>
        <w:bidi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{فحكم الجاهلية يبغون ومن أحسن من الله حكما لقوم يوقنون } المائدة . الآية 50                            </w:t>
      </w:r>
    </w:p>
    <w:p w:rsidR="00252981" w:rsidRPr="009431A4" w:rsidRDefault="00252981" w:rsidP="00252981">
      <w:pPr>
        <w:pStyle w:val="Notedebasdepage"/>
        <w:tabs>
          <w:tab w:val="right" w:pos="8788"/>
        </w:tabs>
        <w:bidi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{ قالو</w:t>
      </w:r>
      <w:r w:rsidRPr="009431A4">
        <w:rPr>
          <w:rFonts w:cs="Simplified Arabic" w:hint="eastAsia"/>
          <w:sz w:val="24"/>
          <w:szCs w:val="24"/>
          <w:rtl/>
        </w:rPr>
        <w:t>ا</w:t>
      </w:r>
      <w:r w:rsidRPr="009431A4">
        <w:rPr>
          <w:rFonts w:cs="Simplified Arabic" w:hint="cs"/>
          <w:sz w:val="24"/>
          <w:szCs w:val="24"/>
          <w:rtl/>
        </w:rPr>
        <w:t xml:space="preserve"> ياموسى اجعل لنا إلاها  كما لهم آلهة قال إنكم قوم تجهلون } الأعراف . 138.                            </w:t>
      </w:r>
    </w:p>
    <w:p w:rsidR="00252981" w:rsidRPr="009431A4" w:rsidRDefault="00252981" w:rsidP="00252981">
      <w:pPr>
        <w:pStyle w:val="Notedebasdepage"/>
        <w:tabs>
          <w:tab w:val="right" w:pos="8788"/>
        </w:tabs>
        <w:jc w:val="right"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{ خذ العفو وامر بالمعروف واعرض عن الجاهلين } الأعراف. 199.</w:t>
      </w:r>
    </w:p>
    <w:p w:rsidR="00252981" w:rsidRPr="009431A4" w:rsidRDefault="00252981" w:rsidP="00252981">
      <w:pPr>
        <w:pStyle w:val="Notedebasdepage"/>
        <w:tabs>
          <w:tab w:val="right" w:pos="8788"/>
        </w:tabs>
        <w:jc w:val="right"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{ وإلا صرف عني كيدهن أصب إليهن وأكن من الجاهلين } يوسف . 33.</w:t>
      </w:r>
    </w:p>
    <w:p w:rsidR="00252981" w:rsidRPr="009431A4" w:rsidRDefault="00252981" w:rsidP="00252981">
      <w:pPr>
        <w:pStyle w:val="Notedebasdepage"/>
        <w:tabs>
          <w:tab w:val="right" w:pos="8788"/>
        </w:tabs>
        <w:jc w:val="right"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{ وعباد الرحمان الذين يمشون في الأرض هونا , وإذا خاطبهم الجاهلون قالوا سلاما } الفرقان . 55.</w:t>
      </w:r>
    </w:p>
    <w:p w:rsidR="00252981" w:rsidRPr="009431A4" w:rsidRDefault="00252981" w:rsidP="00252981">
      <w:pPr>
        <w:pStyle w:val="Notedebasdepage"/>
        <w:tabs>
          <w:tab w:val="right" w:pos="8788"/>
        </w:tabs>
        <w:jc w:val="right"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{ وقرن في بيوتكن ولا تبرجن تبرج الجاهلية الأولى ..} الأحزاب . 33.</w:t>
      </w:r>
    </w:p>
    <w:p w:rsidR="00252981" w:rsidRPr="009431A4" w:rsidRDefault="00252981" w:rsidP="00252981">
      <w:pPr>
        <w:pStyle w:val="Notedebasdepage"/>
        <w:tabs>
          <w:tab w:val="right" w:pos="8788"/>
        </w:tabs>
        <w:jc w:val="right"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 { وقل أفغير الله تأمروني أعبد أيها الجاهلون } الزمر. 64. </w:t>
      </w:r>
    </w:p>
    <w:p w:rsidR="00252981" w:rsidRPr="009431A4" w:rsidRDefault="00252981" w:rsidP="00252981">
      <w:pPr>
        <w:pStyle w:val="Notedebasdepage"/>
        <w:tabs>
          <w:tab w:val="right" w:pos="8788"/>
        </w:tabs>
        <w:jc w:val="right"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{ إذ جعل الذين كفروا في قلوبهم الحمية حمية الجاهلية ..} الفتح. 26.</w:t>
      </w:r>
    </w:p>
    <w:p w:rsidR="00252981" w:rsidRPr="009431A4" w:rsidRDefault="00252981" w:rsidP="00252981">
      <w:pPr>
        <w:pStyle w:val="Notedebasdepage"/>
        <w:tabs>
          <w:tab w:val="right" w:pos="8788"/>
        </w:tabs>
        <w:jc w:val="right"/>
        <w:rPr>
          <w:rFonts w:cs="Simplified Arabic"/>
          <w:sz w:val="24"/>
          <w:szCs w:val="24"/>
          <w:rtl/>
        </w:rPr>
      </w:pPr>
      <w:r w:rsidRPr="009431A4">
        <w:rPr>
          <w:rFonts w:cs="Simplified Arabic" w:hint="cs"/>
          <w:sz w:val="24"/>
          <w:szCs w:val="24"/>
          <w:rtl/>
        </w:rPr>
        <w:t xml:space="preserve">        { يظنون بالله غير الحق ظن الجاهلية  يقولون هل لنا من الأمر من شيء قل الأمر كله لله } آل عمران .                    154</w:t>
      </w:r>
    </w:p>
    <w:p w:rsidR="00252981" w:rsidRPr="009431A4" w:rsidRDefault="00252981" w:rsidP="00252981">
      <w:pPr>
        <w:pStyle w:val="Notedebasdepage"/>
        <w:bidi/>
        <w:rPr>
          <w:rFonts w:cs="Simplified Arabic"/>
          <w:sz w:val="24"/>
          <w:szCs w:val="24"/>
        </w:rPr>
      </w:pPr>
      <w:r>
        <w:rPr>
          <w:rFonts w:cs="Simplified Arabic" w:hint="cs"/>
          <w:sz w:val="24"/>
          <w:szCs w:val="24"/>
          <w:rtl/>
        </w:rPr>
        <w:t xml:space="preserve">        </w:t>
      </w:r>
      <w:r w:rsidRPr="009431A4">
        <w:rPr>
          <w:rFonts w:cs="Simplified Arabic" w:hint="cs"/>
          <w:sz w:val="24"/>
          <w:szCs w:val="24"/>
          <w:rtl/>
        </w:rPr>
        <w:t>إلى غيرها من الآيات التي اشتملت على لفظة الجهل ومشتقاتها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981"/>
    <w:rsid w:val="00252981"/>
    <w:rsid w:val="008225EC"/>
    <w:rsid w:val="008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81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25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25298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529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2021-02-03T04:49:00Z</dcterms:created>
  <dcterms:modified xsi:type="dcterms:W3CDTF">2021-02-03T04:49:00Z</dcterms:modified>
</cp:coreProperties>
</file>