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81" w:rsidRDefault="00252981" w:rsidP="00252981">
      <w:pPr>
        <w:tabs>
          <w:tab w:val="right" w:pos="1678"/>
        </w:tabs>
        <w:bidi/>
        <w:ind w:left="540"/>
        <w:jc w:val="right"/>
        <w:rPr>
          <w:rFonts w:cs="Simplified Arabic"/>
          <w:b/>
          <w:bCs/>
          <w:color w:val="000000"/>
          <w:sz w:val="32"/>
          <w:szCs w:val="32"/>
          <w:rtl/>
        </w:rPr>
      </w:pPr>
      <w:r>
        <w:rPr>
          <w:rFonts w:cs="Simplified Arabic" w:hint="cs"/>
          <w:b/>
          <w:bCs/>
          <w:color w:val="000000"/>
          <w:sz w:val="32"/>
          <w:szCs w:val="32"/>
          <w:rtl/>
        </w:rPr>
        <w:t>المحاضرة الثانية</w:t>
      </w:r>
    </w:p>
    <w:p w:rsidR="00252981" w:rsidRPr="00B144E0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b/>
          <w:bCs/>
          <w:color w:val="000000"/>
          <w:sz w:val="32"/>
          <w:szCs w:val="32"/>
          <w:rtl/>
        </w:rPr>
      </w:pPr>
      <w:r w:rsidRPr="00B144E0">
        <w:rPr>
          <w:rFonts w:cs="Simplified Arabic" w:hint="cs"/>
          <w:b/>
          <w:bCs/>
          <w:color w:val="000000"/>
          <w:sz w:val="32"/>
          <w:szCs w:val="32"/>
          <w:rtl/>
        </w:rPr>
        <w:t>مفهوم مصطلح الجهل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>لقد اقترن مفهوم الجهل في أذهان الناس مرادفا للأمية , أي عدم المقدرة على القراءة والكتابة والواقع أن لفظة الجاهلية قد  ارتبطت بمعنى الأمية منذ القدم.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 ففي كتابه البيان والتبيين يرى الجاحظ , وهو بصدد الحديث عن العرب قبل الإسلام أنهم ( كانوا أميين لا يكتبون )  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2"/>
        <w:t>(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3"/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DC486C">
        <w:rPr>
          <w:rFonts w:cs="Simplified Arabic" w:hint="cs"/>
          <w:color w:val="000000"/>
          <w:sz w:val="32"/>
          <w:szCs w:val="32"/>
          <w:rtl/>
        </w:rPr>
        <w:t>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  يؤيده ابن عبد ربه في عقده , حيث يرى أنه لم يكن من الجاهليين من يعرف القراءة والكتابة قبل الإسلام إلا قلة 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4"/>
        <w:t>(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5"/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DC486C">
        <w:rPr>
          <w:rFonts w:cs="Simplified Arabic" w:hint="cs"/>
          <w:color w:val="000000"/>
          <w:sz w:val="32"/>
          <w:szCs w:val="32"/>
          <w:rtl/>
        </w:rPr>
        <w:t>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 أما ناصر الدين الأسد فيفهم ( معنى الجاهلية بعيدا عن معنى الأمية كما وهم بعض الدارسين بل { يراها } متصلة بمعنى الأمية الدينية , ويأخذ على الدارسين القدامى ميلهم إلى تجهيل الجاهلية , أي تجهيل العصر الجاهلي جملة , حيث يصفون العرب بأنهم كانوا أمة جاهلة لاحظ لها من علم أو معرفة أو كتابة, { وينبه } إلى أن القرآن قد وصف العرب بأنهم أمة أمية في قوله تعالى:( </w:t>
      </w:r>
      <w:r w:rsidRPr="00DC486C">
        <w:rPr>
          <w:rFonts w:cs="Simplified Arabic" w:hint="cs"/>
          <w:b/>
          <w:bCs/>
          <w:color w:val="000000"/>
          <w:sz w:val="32"/>
          <w:szCs w:val="32"/>
          <w:rtl/>
        </w:rPr>
        <w:t>هو الذي بعث في الأميين رسولا منهم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)الجمعة.2.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لكنه يعتقد أن الأمية المقصودة { في الاية} ليست الأمية العلمية , وإنما هي الأمية الدينية  أي أنهم لم يكن لهم قبل القرآن الكريم كتاب ديني , ومن هنا كانوا أميين دينيا )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6"/>
        <w:t>(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7"/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.  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lastRenderedPageBreak/>
        <w:t xml:space="preserve">    وهو الرأي الذي مال إليه " فيليب حتي"  , وذلك عندما رأى أن ( الجاهلية في المعنى الصحيح هي ذلك العصر الذي لم يكن لبلاد العرب فيه ناموس وازع , ولا نبي ملهم ولاكتاب منزل ) 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8"/>
        <w:t>(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9"/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DC486C">
        <w:rPr>
          <w:rFonts w:cs="Simplified Arabic" w:hint="cs"/>
          <w:color w:val="000000"/>
          <w:sz w:val="32"/>
          <w:szCs w:val="32"/>
          <w:rtl/>
        </w:rPr>
        <w:t>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لقد أولى القرآن الكريم لفظة  " الأمية " عناية خاصة , وذلك عندما وصف بها خير الأنام المبعوث من الأميين إليهم رسولا 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rPr>
          <w:rFonts w:cs="Simplified Arabic"/>
          <w:color w:val="000000"/>
          <w:sz w:val="32"/>
          <w:szCs w:val="32"/>
          <w:rtl/>
        </w:rPr>
      </w:pPr>
      <w:r w:rsidRPr="005740AC">
        <w:rPr>
          <w:rFonts w:cs="Simplified Arabic" w:hint="cs"/>
          <w:color w:val="000000"/>
          <w:sz w:val="32"/>
          <w:szCs w:val="32"/>
          <w:rtl/>
        </w:rPr>
        <w:t>إن لفظة الأميين الواردة في القرآن الكريم</w:t>
      </w:r>
      <w:r w:rsidRPr="005740A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10"/>
        <w:t>(</w:t>
      </w:r>
      <w:r w:rsidRPr="005740A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11"/>
      </w:r>
      <w:r w:rsidRPr="005740A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5740AC">
        <w:rPr>
          <w:rFonts w:cs="Simplified Arabic" w:hint="cs"/>
          <w:color w:val="000000"/>
          <w:sz w:val="32"/>
          <w:szCs w:val="32"/>
          <w:rtl/>
        </w:rPr>
        <w:t xml:space="preserve"> , يعني بها عز وعلا العرب الذين عاصروا الرسول </w:t>
      </w:r>
      <w:r w:rsidRPr="005740AC">
        <w:rPr>
          <w:rFonts w:cs="Simplified Arabic"/>
          <w:color w:val="000000"/>
          <w:sz w:val="32"/>
          <w:szCs w:val="32"/>
          <w:rtl/>
        </w:rPr>
        <w:t>–</w:t>
      </w:r>
      <w:r w:rsidRPr="005740AC">
        <w:rPr>
          <w:rFonts w:cs="Simplified Arabic" w:hint="cs"/>
          <w:color w:val="000000"/>
          <w:sz w:val="32"/>
          <w:szCs w:val="32"/>
          <w:rtl/>
        </w:rPr>
        <w:t xml:space="preserve"> صلى الله عليه وسلم </w:t>
      </w:r>
      <w:r w:rsidRPr="005740AC">
        <w:rPr>
          <w:rFonts w:cs="Simplified Arabic"/>
          <w:color w:val="000000"/>
          <w:sz w:val="32"/>
          <w:szCs w:val="32"/>
          <w:rtl/>
        </w:rPr>
        <w:t>–</w:t>
      </w:r>
      <w:r w:rsidRPr="005740AC">
        <w:rPr>
          <w:rFonts w:cs="Simplified Arabic" w:hint="cs"/>
          <w:color w:val="000000"/>
          <w:sz w:val="32"/>
          <w:szCs w:val="32"/>
          <w:rtl/>
        </w:rPr>
        <w:t xml:space="preserve"> لكونهم عرفوا  بالأمية وهي عدم معرفة</w:t>
      </w:r>
      <w:r w:rsidRPr="005740AC">
        <w:rPr>
          <w:rFonts w:cs="Simplified Arabic" w:hint="cs"/>
          <w:color w:val="000000"/>
          <w:sz w:val="44"/>
          <w:szCs w:val="44"/>
          <w:rtl/>
        </w:rPr>
        <w:t xml:space="preserve"> 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أصول القراءة والكتابة و بخلاف ما ذهب إليه ناصر الدين الأسد, الذي لم يحسم المسألة , إذ حصرها في الأمية الدينية فحسب .    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 غير أن استقراء معاني هذه اللفظة ودلالاتها التي تضمنتها مختلف السياقات القرآنية تشير إلى أن الأمية هي حقا عدم معرفة القراءة والكتابة. وقد جاء في الحديث الشريف :</w:t>
      </w:r>
    </w:p>
    <w:p w:rsidR="00252981" w:rsidRDefault="00252981" w:rsidP="00252981">
      <w:pPr>
        <w:tabs>
          <w:tab w:val="right" w:pos="1678"/>
        </w:tabs>
        <w:bidi/>
        <w:ind w:left="540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( نحن أمة أمية  لانكتب , ولانحسب ) 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customMarkFollows="1" w:id="12"/>
        <w:t>(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13"/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t>)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.</w:t>
      </w:r>
    </w:p>
    <w:p w:rsidR="00252981" w:rsidRPr="00DC486C" w:rsidRDefault="00252981" w:rsidP="00252981">
      <w:pPr>
        <w:tabs>
          <w:tab w:val="right" w:pos="1678"/>
        </w:tabs>
        <w:bidi/>
        <w:ind w:left="540"/>
        <w:rPr>
          <w:rFonts w:cs="Simplified Arabic"/>
          <w:color w:val="000000"/>
          <w:sz w:val="32"/>
          <w:szCs w:val="32"/>
          <w:rtl/>
        </w:rPr>
      </w:pPr>
    </w:p>
    <w:p w:rsidR="00252981" w:rsidRDefault="00252981" w:rsidP="00252981">
      <w:pPr>
        <w:tabs>
          <w:tab w:val="right" w:pos="1678"/>
        </w:tabs>
        <w:bidi/>
        <w:jc w:val="both"/>
        <w:rPr>
          <w:rFonts w:cs="Simplified Arabic"/>
          <w:color w:val="000000"/>
          <w:sz w:val="32"/>
          <w:szCs w:val="32"/>
          <w:rtl/>
        </w:rPr>
      </w:pPr>
    </w:p>
    <w:p w:rsidR="00252981" w:rsidRPr="00DC486C" w:rsidRDefault="00252981" w:rsidP="00252981">
      <w:pPr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إن المتدبر لمعاني هذه اللفظة الواردة في مختلف السياقات للذكر الحكيم  </w:t>
      </w:r>
      <w:r w:rsidRPr="00DC486C">
        <w:rPr>
          <w:rStyle w:val="Appelnotedebasdep"/>
          <w:rFonts w:cs="Simplified Arabic"/>
          <w:color w:val="000000"/>
          <w:sz w:val="32"/>
          <w:szCs w:val="32"/>
          <w:rtl/>
        </w:rPr>
        <w:footnoteReference w:id="14"/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يجدها تصب في دائرة الغطرسة والسفاهة في القول والفعل , وما كان يتصف به الفرد العربي قبل الإسلام من نز</w:t>
      </w:r>
      <w:r w:rsidRPr="00DC486C">
        <w:rPr>
          <w:rFonts w:cs="Simplified Arabic" w:hint="eastAsia"/>
          <w:color w:val="000000"/>
          <w:sz w:val="32"/>
          <w:szCs w:val="32"/>
          <w:rtl/>
        </w:rPr>
        <w:t>ق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وطيش , وكذا الجهل بحقيقة  الأشياء, والتعصب الشديد لجملة من الأحكام والقيم كان يؤمن بها , ولا يتسامح في تجاوزها لأي كان , كما لا يسم</w:t>
      </w:r>
      <w:r w:rsidRPr="00DC486C">
        <w:rPr>
          <w:rFonts w:cs="Simplified Arabic" w:hint="eastAsia"/>
          <w:color w:val="000000"/>
          <w:sz w:val="32"/>
          <w:szCs w:val="32"/>
          <w:rtl/>
        </w:rPr>
        <w:t>ح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لنفسه كذلك تجاوزها , وهي كثيرة ومتعددة , بعضها يرتبط بمعتقداته الدينية , وبعضها الآخر له علاقة بقيم منها ما ه</w:t>
      </w:r>
      <w:r w:rsidRPr="00DC486C">
        <w:rPr>
          <w:rFonts w:cs="Simplified Arabic" w:hint="eastAsia"/>
          <w:color w:val="000000"/>
          <w:sz w:val="32"/>
          <w:szCs w:val="32"/>
          <w:rtl/>
        </w:rPr>
        <w:t>و</w:t>
      </w:r>
      <w:r w:rsidRPr="00DC486C">
        <w:rPr>
          <w:rFonts w:cs="Simplified Arabic" w:hint="cs"/>
          <w:color w:val="000000"/>
          <w:sz w:val="32"/>
          <w:szCs w:val="32"/>
          <w:rtl/>
        </w:rPr>
        <w:t xml:space="preserve"> إيجابي كالقيم المتوارثة , كالشرف والإغاثة , وغير ذلك , ومنه ما هو سلبي كاستعباد الضعيف واحتقار الفقير ..وما إلى ذلك .</w:t>
      </w:r>
    </w:p>
    <w:p w:rsidR="00252981" w:rsidRDefault="00252981" w:rsidP="00252981">
      <w:pPr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  <w:r w:rsidRPr="00DC486C">
        <w:rPr>
          <w:rFonts w:cs="Simplified Arabic" w:hint="cs"/>
          <w:color w:val="000000"/>
          <w:sz w:val="32"/>
          <w:szCs w:val="32"/>
          <w:rtl/>
        </w:rPr>
        <w:t xml:space="preserve">    إن الجهل ليس حالة ثابتة عند العرب , بل هو وصف عارض لبعض حالاتهم في ظروف ومواقف معينة.</w:t>
      </w:r>
    </w:p>
    <w:p w:rsidR="00252981" w:rsidRDefault="00252981" w:rsidP="00252981">
      <w:pPr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</w:p>
    <w:p w:rsidR="00252981" w:rsidRDefault="00252981" w:rsidP="00252981">
      <w:pPr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</w:p>
    <w:p w:rsidR="00252981" w:rsidRDefault="00252981" w:rsidP="00252981">
      <w:pPr>
        <w:bidi/>
        <w:ind w:left="540"/>
        <w:jc w:val="both"/>
        <w:rPr>
          <w:rFonts w:cs="Simplified Arabic"/>
          <w:color w:val="000000"/>
          <w:sz w:val="32"/>
          <w:szCs w:val="32"/>
          <w:rtl/>
        </w:rPr>
      </w:pPr>
    </w:p>
    <w:p w:rsidR="008F465D" w:rsidRDefault="008F465D" w:rsidP="00252981">
      <w:pPr>
        <w:bidi/>
      </w:pPr>
    </w:p>
    <w:sectPr w:rsidR="008F465D" w:rsidSect="008F4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5EC" w:rsidRDefault="008225EC" w:rsidP="00252981">
      <w:pPr>
        <w:spacing w:after="0" w:line="240" w:lineRule="auto"/>
      </w:pPr>
      <w:r>
        <w:separator/>
      </w:r>
    </w:p>
  </w:endnote>
  <w:endnote w:type="continuationSeparator" w:id="1">
    <w:p w:rsidR="008225EC" w:rsidRDefault="008225EC" w:rsidP="002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5EC" w:rsidRDefault="008225EC" w:rsidP="00252981">
      <w:pPr>
        <w:spacing w:after="0" w:line="240" w:lineRule="auto"/>
      </w:pPr>
      <w:r>
        <w:separator/>
      </w:r>
    </w:p>
  </w:footnote>
  <w:footnote w:type="continuationSeparator" w:id="1">
    <w:p w:rsidR="008225EC" w:rsidRDefault="008225EC" w:rsidP="00252981">
      <w:pPr>
        <w:spacing w:after="0" w:line="240" w:lineRule="auto"/>
      </w:pPr>
      <w:r>
        <w:continuationSeparator/>
      </w:r>
    </w:p>
  </w:footnote>
  <w:footnote w:id="2">
    <w:p w:rsidR="00252981" w:rsidRDefault="00252981" w:rsidP="00252981">
      <w:pPr>
        <w:pStyle w:val="Notedebasdepage"/>
        <w:bidi/>
        <w:rPr>
          <w:sz w:val="24"/>
          <w:szCs w:val="24"/>
        </w:rPr>
      </w:pPr>
    </w:p>
  </w:footnote>
  <w:footnote w:id="3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>الجاحظ ( أبو عثمان بن بحر ) البيان والتبيين . ج3. .  ص28</w:t>
      </w:r>
    </w:p>
  </w:footnote>
  <w:footnote w:id="4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</w:p>
  </w:footnote>
  <w:footnote w:id="5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 xml:space="preserve">ابن عبد ربه ( أحمد بن محمد ) / العقد الفريد . طبعة لجنة التأليف والترجمة والنشر. ج4. ص 242    </w:t>
      </w:r>
    </w:p>
  </w:footnote>
  <w:footnote w:id="6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                         </w:t>
      </w:r>
    </w:p>
  </w:footnote>
  <w:footnote w:id="7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>نقلا عن :عفت الشرقاوي / دروس ونصوص في قضايا الأدب العربي . دارالنهضة العربية. بيروت.1979.ص</w:t>
      </w:r>
    </w:p>
  </w:footnote>
  <w:footnote w:id="8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</w:p>
  </w:footnote>
  <w:footnote w:id="9"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 w:hint="cs"/>
          <w:sz w:val="24"/>
          <w:szCs w:val="24"/>
          <w:rtl/>
        </w:rPr>
        <w:t xml:space="preserve">  فيايب حتي / تاريخ العرب . ص 12. نقلا عن عفت الشرقاوي / دروس ونصوص في قضايا الأدب                الجاهلي..ص 35. .</w:t>
      </w:r>
    </w:p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</w:p>
  </w:footnote>
  <w:footnote w:id="10"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  <w:rtl/>
        </w:rPr>
      </w:pPr>
    </w:p>
  </w:footnote>
  <w:footnote w:id="11"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  <w:rtl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 xml:space="preserve">من الآيات القرآنية التي تضمنت لفظة الأميين , قوله تعالى : { وقل للذين أوتوا الكتاب والأميين أأسلمتم} </w:t>
      </w:r>
    </w:p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           آل عمران .الآية 20.</w:t>
      </w:r>
    </w:p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     وقوله كذلك : { وذلك بأنهم قالوا لك ليس في الأميين سبيل } آل عمران. الآية 75.</w:t>
      </w:r>
    </w:p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</w:p>
  </w:footnote>
  <w:footnote w:id="12"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</w:rPr>
      </w:pPr>
    </w:p>
  </w:footnote>
  <w:footnote w:id="13"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  <w:rtl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 xml:space="preserve">القسطلاني " أبو العباس شهاب الدين " / إرشاد الساري لشرح صحيح البخاري. دار الكتاب العربي . </w:t>
      </w:r>
    </w:p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     بيروت.لبنان. ج3. ص359. </w:t>
      </w:r>
    </w:p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</w:p>
  </w:footnote>
  <w:footnote w:id="14">
    <w:p w:rsidR="00252981" w:rsidRPr="009431A4" w:rsidRDefault="00252981" w:rsidP="00252981">
      <w:pPr>
        <w:pStyle w:val="Notedebasdepage"/>
        <w:bidi/>
        <w:jc w:val="both"/>
        <w:rPr>
          <w:rFonts w:cs="Simplified Arabic"/>
          <w:sz w:val="24"/>
          <w:szCs w:val="24"/>
        </w:rPr>
      </w:pPr>
      <w:r w:rsidRPr="009431A4">
        <w:rPr>
          <w:rStyle w:val="Appelnotedebasdep"/>
          <w:rFonts w:cs="Simplified Arabic"/>
          <w:sz w:val="24"/>
          <w:szCs w:val="24"/>
        </w:rPr>
        <w:footnoteRef/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>{ قالوا أأتتخذنا هزؤا قال أعود بالله أن أكون من الجاهلين } البقرة. الآية  67</w:t>
      </w:r>
      <w:r w:rsidRPr="009431A4">
        <w:rPr>
          <w:rFonts w:cs="Simplified Arabic"/>
          <w:sz w:val="24"/>
          <w:szCs w:val="24"/>
        </w:rPr>
        <w:t xml:space="preserve"> </w:t>
      </w:r>
      <w:r w:rsidRPr="009431A4">
        <w:rPr>
          <w:rFonts w:cs="Simplified Arabic" w:hint="cs"/>
          <w:sz w:val="24"/>
          <w:szCs w:val="24"/>
          <w:rtl/>
        </w:rPr>
        <w:t xml:space="preserve">   </w:t>
      </w:r>
    </w:p>
    <w:p w:rsidR="00252981" w:rsidRPr="009431A4" w:rsidRDefault="00252981" w:rsidP="00252981">
      <w:pPr>
        <w:pStyle w:val="Notedebasdepage"/>
        <w:tabs>
          <w:tab w:val="right" w:pos="8788"/>
        </w:tabs>
        <w:bidi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{فحكم الجاهلية يبغون ومن أحسن من الله حكما لقوم يوقنون } المائدة . الآية 50                            </w:t>
      </w:r>
    </w:p>
    <w:p w:rsidR="00252981" w:rsidRPr="009431A4" w:rsidRDefault="00252981" w:rsidP="00252981">
      <w:pPr>
        <w:pStyle w:val="Notedebasdepage"/>
        <w:tabs>
          <w:tab w:val="right" w:pos="8788"/>
        </w:tabs>
        <w:bidi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قالو</w:t>
      </w:r>
      <w:r w:rsidRPr="009431A4">
        <w:rPr>
          <w:rFonts w:cs="Simplified Arabic" w:hint="eastAsia"/>
          <w:sz w:val="24"/>
          <w:szCs w:val="24"/>
          <w:rtl/>
        </w:rPr>
        <w:t>ا</w:t>
      </w:r>
      <w:r w:rsidRPr="009431A4">
        <w:rPr>
          <w:rFonts w:cs="Simplified Arabic" w:hint="cs"/>
          <w:sz w:val="24"/>
          <w:szCs w:val="24"/>
          <w:rtl/>
        </w:rPr>
        <w:t xml:space="preserve"> ياموسى اجعل لنا إلاها  كما لهم آلهة قال إنكم قوم تجهلون } الأعراف . 138.                            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خذ العفو وامر بالمعروف واعرض عن الجاهلين } الأعراف. 199.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وإلا صرف عني كيدهن أصب إليهن وأكن من الجاهلين } يوسف . 33.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وعباد الرحمان الذين يمشون في الأرض هونا , وإذا خاطبهم الجاهلون قالوا سلاما } الفرقان . 55.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وقرن في بيوتكن ولا تبرجن تبرج الجاهلية الأولى ..} الأحزاب . 33.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 { وقل أفغير الله تأمروني أعبد أيها الجاهلون } الزمر. 64. 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{ إذ جعل الذين كفروا في قلوبهم الحمية حمية الجاهلية ..} الفتح. 26.</w:t>
      </w:r>
    </w:p>
    <w:p w:rsidR="00252981" w:rsidRPr="009431A4" w:rsidRDefault="00252981" w:rsidP="00252981">
      <w:pPr>
        <w:pStyle w:val="Notedebasdepage"/>
        <w:tabs>
          <w:tab w:val="right" w:pos="8788"/>
        </w:tabs>
        <w:jc w:val="right"/>
        <w:rPr>
          <w:rFonts w:cs="Simplified Arabic"/>
          <w:sz w:val="24"/>
          <w:szCs w:val="24"/>
          <w:rtl/>
        </w:rPr>
      </w:pPr>
      <w:r w:rsidRPr="009431A4">
        <w:rPr>
          <w:rFonts w:cs="Simplified Arabic" w:hint="cs"/>
          <w:sz w:val="24"/>
          <w:szCs w:val="24"/>
          <w:rtl/>
        </w:rPr>
        <w:t xml:space="preserve">        { يظنون بالله غير الحق ظن الجاهلية  يقولون هل لنا من الأمر من شيء قل الأمر كله لله } آل عمران .                    154</w:t>
      </w:r>
    </w:p>
    <w:p w:rsidR="00252981" w:rsidRPr="009431A4" w:rsidRDefault="00252981" w:rsidP="00252981">
      <w:pPr>
        <w:pStyle w:val="Notedebasdepage"/>
        <w:bidi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 xml:space="preserve">        </w:t>
      </w:r>
      <w:r w:rsidRPr="009431A4">
        <w:rPr>
          <w:rFonts w:cs="Simplified Arabic" w:hint="cs"/>
          <w:sz w:val="24"/>
          <w:szCs w:val="24"/>
          <w:rtl/>
        </w:rPr>
        <w:t>إلى غيرها من الآيات التي اشتملت على لفظة الجهل ومشتقاتها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981"/>
    <w:rsid w:val="00252981"/>
    <w:rsid w:val="008225EC"/>
    <w:rsid w:val="008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8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25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25298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529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2021-02-03T04:49:00Z</dcterms:created>
  <dcterms:modified xsi:type="dcterms:W3CDTF">2021-02-03T04:49:00Z</dcterms:modified>
</cp:coreProperties>
</file>