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85" w:rsidRDefault="00A53858" w:rsidP="00A53858">
      <w:pPr>
        <w:tabs>
          <w:tab w:val="left" w:pos="8020"/>
        </w:tabs>
        <w:bidi/>
        <w:jc w:val="both"/>
        <w:rPr>
          <w:rFonts w:ascii="Segoe UI" w:hAnsi="Segoe UI" w:cs="Traditional Arabic"/>
          <w:b/>
          <w:bCs/>
          <w:sz w:val="36"/>
          <w:szCs w:val="36"/>
          <w:rtl/>
          <w:lang w:bidi="ar-DZ"/>
        </w:rPr>
      </w:pPr>
      <w:r>
        <w:rPr>
          <w:rFonts w:ascii="Segoe UI" w:hAnsi="Segoe UI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Segoe UI" w:hAnsi="Segoe UI" w:cs="Traditional Arabic" w:hint="cs"/>
          <w:b/>
          <w:bCs/>
          <w:sz w:val="36"/>
          <w:szCs w:val="36"/>
          <w:rtl/>
          <w:lang w:bidi="ar-DZ"/>
        </w:rPr>
        <w:t xml:space="preserve">     </w:t>
      </w:r>
    </w:p>
    <w:p w:rsidR="008675AE" w:rsidRDefault="008675AE" w:rsidP="008675AE">
      <w:pPr>
        <w:tabs>
          <w:tab w:val="left" w:pos="8020"/>
        </w:tabs>
        <w:bidi/>
        <w:jc w:val="lowKashida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ثانيا: </w:t>
      </w:r>
      <w:proofErr w:type="gramStart"/>
      <w:r>
        <w:rPr>
          <w:rFonts w:hint="cs"/>
          <w:sz w:val="32"/>
          <w:szCs w:val="32"/>
          <w:rtl/>
          <w:lang w:bidi="ar-DZ"/>
        </w:rPr>
        <w:t>انقضاء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الدعوى العمومية.</w:t>
      </w:r>
    </w:p>
    <w:p w:rsidR="008675AE" w:rsidRDefault="008675AE" w:rsidP="008675AE">
      <w:pPr>
        <w:tabs>
          <w:tab w:val="left" w:pos="8020"/>
        </w:tabs>
        <w:bidi/>
        <w:jc w:val="lowKashida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الأصل أن الدعوى العمومية، و كغيرها من باقي الدعاوى الأخرى تنقضي بصدور حكم نهائي و بات فاصل في موضوعها، غير أنه و مع ذلك قد يطرأ عليها أثناء سير إجراءاتها عوارض تؤدي إلى انقضائها قبل صدور حكم بات بشأنها، هذه العوارض يطلق عليها طرق انقضاء الدعوى العمومية، و قد تناولها المشرع الجزائري بمقتضى المادة السادسة و ما يليها من قانون الإجراءات الجزائية.</w:t>
      </w:r>
    </w:p>
    <w:p w:rsidR="008675AE" w:rsidRDefault="008675AE" w:rsidP="008675AE">
      <w:pPr>
        <w:tabs>
          <w:tab w:val="left" w:pos="8020"/>
        </w:tabs>
        <w:bidi/>
        <w:jc w:val="lowKashida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 باستقراء لقانون الإجراءات الجزائية، نجد أن المشرع الجزائري تناول صنفين من الطرق التي تنقضي بمقتضاها الدعوى العمومية؛ عامة تشمل جميع الجرائم أيا كان نوعها و مهما بلغت خطورتها الإجرامية، و خاصّة تنصرف إلى أصناف محدّدة من الجرائم دون سواها.</w:t>
      </w:r>
    </w:p>
    <w:p w:rsidR="008675AE" w:rsidRDefault="008675AE" w:rsidP="008675AE">
      <w:pPr>
        <w:tabs>
          <w:tab w:val="left" w:pos="8020"/>
        </w:tabs>
        <w:bidi/>
        <w:jc w:val="lowKashida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</w:t>
      </w:r>
      <w:proofErr w:type="gramStart"/>
      <w:r>
        <w:rPr>
          <w:rFonts w:hint="cs"/>
          <w:sz w:val="32"/>
          <w:szCs w:val="32"/>
          <w:rtl/>
          <w:lang w:bidi="ar-DZ"/>
        </w:rPr>
        <w:t>تعد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من الطرق العامة لانقضاء الدعوى العمومية؛ صدور حكم حائز لقوة الشيء المقضي فيه/ إلغاء قانون العقوبات/ العفو الشامل/ وفاة المتهم/ و التقادم. </w:t>
      </w:r>
      <w:proofErr w:type="gramStart"/>
      <w:r>
        <w:rPr>
          <w:rFonts w:hint="cs"/>
          <w:sz w:val="32"/>
          <w:szCs w:val="32"/>
          <w:rtl/>
          <w:lang w:bidi="ar-DZ"/>
        </w:rPr>
        <w:t>بينما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تعد من الطرق الخاصة؛ سحب الشكوى متى كانت شرطا لازما للمتابعة و تنفيذ اتفاق الوساطة.</w:t>
      </w:r>
    </w:p>
    <w:p w:rsidR="008675AE" w:rsidRDefault="008675AE" w:rsidP="008675AE">
      <w:pPr>
        <w:pStyle w:val="Paragraphedeliste"/>
        <w:numPr>
          <w:ilvl w:val="0"/>
          <w:numId w:val="1"/>
        </w:numPr>
        <w:tabs>
          <w:tab w:val="left" w:pos="8020"/>
        </w:tabs>
        <w:bidi/>
        <w:jc w:val="lowKashida"/>
        <w:rPr>
          <w:sz w:val="32"/>
          <w:szCs w:val="32"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صدور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حكم حائز لقوة الشيء المقضي فيه: و هو الطريق العادي و المسار الطبيعي الذي تنقضي بموجبه مختلف الدعاوى بما في ذلك الدعاوى العمومية، و المقصود </w:t>
      </w:r>
      <w:proofErr w:type="spellStart"/>
      <w:r>
        <w:rPr>
          <w:rFonts w:hint="cs"/>
          <w:sz w:val="32"/>
          <w:szCs w:val="32"/>
          <w:rtl/>
          <w:lang w:bidi="ar-DZ"/>
        </w:rPr>
        <w:t>به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استنفاد الحكم الجزائي جميع طرق الطعن؛ العادية و غير العادية، و وصوله مرحلة تنفيذ الجزاء الجنائي.</w:t>
      </w:r>
    </w:p>
    <w:p w:rsidR="008675AE" w:rsidRDefault="008675AE" w:rsidP="008675AE">
      <w:pPr>
        <w:pStyle w:val="Paragraphedeliste"/>
        <w:numPr>
          <w:ilvl w:val="0"/>
          <w:numId w:val="1"/>
        </w:numPr>
        <w:tabs>
          <w:tab w:val="left" w:pos="8020"/>
        </w:tabs>
        <w:bidi/>
        <w:jc w:val="lowKashida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إلغاء قانون العقوبات: و المقصود </w:t>
      </w:r>
      <w:proofErr w:type="spellStart"/>
      <w:r>
        <w:rPr>
          <w:rFonts w:hint="cs"/>
          <w:sz w:val="32"/>
          <w:szCs w:val="32"/>
          <w:rtl/>
          <w:lang w:bidi="ar-DZ"/>
        </w:rPr>
        <w:t>به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نزع الوصف </w:t>
      </w:r>
      <w:proofErr w:type="spellStart"/>
      <w:r>
        <w:rPr>
          <w:rFonts w:hint="cs"/>
          <w:sz w:val="32"/>
          <w:szCs w:val="32"/>
          <w:rtl/>
          <w:lang w:bidi="ar-DZ"/>
        </w:rPr>
        <w:t>الجرمي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عن الفعل المرتكب و إخراج الفعل من دائرة التجريم إلى دائرة الإباحة، و عندئذ تتوقف إجراءات المتابعة أو التحقيق </w:t>
      </w:r>
      <w:proofErr w:type="spellStart"/>
      <w:r>
        <w:rPr>
          <w:rFonts w:hint="cs"/>
          <w:sz w:val="32"/>
          <w:szCs w:val="32"/>
          <w:rtl/>
          <w:lang w:bidi="ar-DZ"/>
        </w:rPr>
        <w:t>أوحتى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المحاكمة ضد المتهم متى صدر قانون جديد أباح الفعل الذي كان مجرّما وقت ارتكابه باعتباره القانون الأصلح للمتهم. و </w:t>
      </w:r>
      <w:proofErr w:type="gramStart"/>
      <w:r>
        <w:rPr>
          <w:rFonts w:hint="cs"/>
          <w:sz w:val="32"/>
          <w:szCs w:val="32"/>
          <w:rtl/>
          <w:lang w:bidi="ar-DZ"/>
        </w:rPr>
        <w:t>عبارة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إلغاء قانون العقوبات ليس المقصود منها الإلغاء الكلي للقانون و حسب، و إنما ينصرف معناها إلى الإلغاء الجزئي كذلك، بل تسري الأحكام ذاتها حتى و إن اقتصر القانون الجديد على إباحة فعل واحد فقط.</w:t>
      </w:r>
    </w:p>
    <w:p w:rsidR="008675AE" w:rsidRDefault="008675AE" w:rsidP="008675AE">
      <w:pPr>
        <w:pStyle w:val="Paragraphedeliste"/>
        <w:numPr>
          <w:ilvl w:val="0"/>
          <w:numId w:val="1"/>
        </w:numPr>
        <w:tabs>
          <w:tab w:val="left" w:pos="8020"/>
        </w:tabs>
        <w:bidi/>
        <w:jc w:val="lowKashida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العفو الشامل: المقصود بالعفو الشامل كطريق عام لانقضاء الدعوى العمومية ذلك العفو الصادر عن البرلمان بمقتضى قانون، و هو المراد </w:t>
      </w:r>
      <w:proofErr w:type="spellStart"/>
      <w:r>
        <w:rPr>
          <w:rFonts w:hint="cs"/>
          <w:sz w:val="32"/>
          <w:szCs w:val="32"/>
          <w:rtl/>
          <w:lang w:bidi="ar-DZ"/>
        </w:rPr>
        <w:t>به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العفو عن المتابعة تجاه المشتبه فيه </w:t>
      </w:r>
      <w:proofErr w:type="spellStart"/>
      <w:r>
        <w:rPr>
          <w:rFonts w:hint="cs"/>
          <w:sz w:val="32"/>
          <w:szCs w:val="32"/>
          <w:rtl/>
          <w:lang w:bidi="ar-DZ"/>
        </w:rPr>
        <w:t>أوالمتهم</w:t>
      </w:r>
      <w:proofErr w:type="spellEnd"/>
      <w:r>
        <w:rPr>
          <w:rFonts w:hint="cs"/>
          <w:sz w:val="32"/>
          <w:szCs w:val="32"/>
          <w:rtl/>
          <w:lang w:bidi="ar-DZ"/>
        </w:rPr>
        <w:t>، إذ تنقضي الدعوى في أية مرحلة كانت عليها متى صدر عفو عن مرتكبي الجرائم.</w:t>
      </w:r>
    </w:p>
    <w:p w:rsidR="008675AE" w:rsidRDefault="008675AE" w:rsidP="008675AE">
      <w:pPr>
        <w:tabs>
          <w:tab w:val="left" w:pos="8020"/>
        </w:tabs>
        <w:bidi/>
        <w:ind w:left="720"/>
        <w:jc w:val="lowKashida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</w:t>
      </w:r>
      <w:proofErr w:type="gramStart"/>
      <w:r>
        <w:rPr>
          <w:rFonts w:hint="cs"/>
          <w:sz w:val="32"/>
          <w:szCs w:val="32"/>
          <w:rtl/>
          <w:lang w:bidi="ar-DZ"/>
        </w:rPr>
        <w:t>هو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بهذا المعنى يختلف عن العفو الرئاسي الذي يصدره رئيس الجمهورية بما خوّله إياه الدستور، أي العفو عن العقوبة لمن صدر بحقهم أحكام و قرارات نهائية بالإدانة. </w:t>
      </w:r>
      <w:proofErr w:type="gramStart"/>
      <w:r>
        <w:rPr>
          <w:rFonts w:hint="cs"/>
          <w:sz w:val="32"/>
          <w:szCs w:val="32"/>
          <w:rtl/>
          <w:lang w:bidi="ar-DZ"/>
        </w:rPr>
        <w:t>فالعفو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كطريق لانقضاء الدعوى العمومية هو العفو عن المتابعة و ليس العفو عن العقوبة.</w:t>
      </w:r>
    </w:p>
    <w:p w:rsidR="008675AE" w:rsidRDefault="008675AE" w:rsidP="008675AE">
      <w:pPr>
        <w:pStyle w:val="Paragraphedeliste"/>
        <w:numPr>
          <w:ilvl w:val="0"/>
          <w:numId w:val="1"/>
        </w:numPr>
        <w:tabs>
          <w:tab w:val="left" w:pos="8020"/>
        </w:tabs>
        <w:bidi/>
        <w:jc w:val="lowKashida"/>
        <w:rPr>
          <w:sz w:val="32"/>
          <w:szCs w:val="32"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وفاة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المتهم: تنقضي الدعوى العمومية بوفاة المتهم استنادا إلى مبدأ شخصية العقوبة، على اعتبار أن المتهم هو المعني بالمتابعة و توقيع العقاب دون جواز انتقال المتابعة إلى الغير بدلا عنه، فهو محل اعتبار كخصم في موضوع تلك الدعوى العمومية. </w:t>
      </w:r>
      <w:proofErr w:type="gramStart"/>
      <w:r>
        <w:rPr>
          <w:rFonts w:hint="cs"/>
          <w:sz w:val="32"/>
          <w:szCs w:val="32"/>
          <w:rtl/>
          <w:lang w:bidi="ar-DZ"/>
        </w:rPr>
        <w:t>غير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أن الدعوى المدنية بالتبعية تبقى قائمة حتى مع وفاة المتهم، إذ تنتقل إلى خلفه، و يجوز عندئذ للمضرور من الجريمة متابعة الورثة بالتعويض أمام القضاء المدني.</w:t>
      </w:r>
    </w:p>
    <w:p w:rsidR="008675AE" w:rsidRDefault="008675AE" w:rsidP="008675AE">
      <w:pPr>
        <w:pStyle w:val="Paragraphedeliste"/>
        <w:numPr>
          <w:ilvl w:val="0"/>
          <w:numId w:val="1"/>
        </w:numPr>
        <w:tabs>
          <w:tab w:val="left" w:pos="8020"/>
        </w:tabs>
        <w:bidi/>
        <w:jc w:val="lowKashida"/>
        <w:rPr>
          <w:sz w:val="32"/>
          <w:szCs w:val="32"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lastRenderedPageBreak/>
        <w:t>التقادم</w:t>
      </w:r>
      <w:proofErr w:type="gramEnd"/>
      <w:r>
        <w:rPr>
          <w:rFonts w:hint="cs"/>
          <w:sz w:val="32"/>
          <w:szCs w:val="32"/>
          <w:rtl/>
          <w:lang w:bidi="ar-DZ"/>
        </w:rPr>
        <w:t>: تنقضي الدعوى العمومية بالتقادم بمرور:</w:t>
      </w:r>
    </w:p>
    <w:p w:rsidR="008675AE" w:rsidRDefault="008675AE" w:rsidP="008675AE">
      <w:pPr>
        <w:pStyle w:val="Paragraphedeliste"/>
        <w:numPr>
          <w:ilvl w:val="0"/>
          <w:numId w:val="2"/>
        </w:numPr>
        <w:tabs>
          <w:tab w:val="left" w:pos="8020"/>
        </w:tabs>
        <w:bidi/>
        <w:jc w:val="lowKashida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عشر (10) سنوات في الجنايات.</w:t>
      </w:r>
    </w:p>
    <w:p w:rsidR="008675AE" w:rsidRDefault="008675AE" w:rsidP="008675AE">
      <w:pPr>
        <w:pStyle w:val="Paragraphedeliste"/>
        <w:numPr>
          <w:ilvl w:val="0"/>
          <w:numId w:val="2"/>
        </w:numPr>
        <w:tabs>
          <w:tab w:val="left" w:pos="8020"/>
        </w:tabs>
        <w:bidi/>
        <w:jc w:val="lowKashida"/>
        <w:rPr>
          <w:sz w:val="32"/>
          <w:szCs w:val="32"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ثلاث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(03) سنوات في الجنح.</w:t>
      </w:r>
    </w:p>
    <w:p w:rsidR="008675AE" w:rsidRDefault="008675AE" w:rsidP="008675AE">
      <w:pPr>
        <w:pStyle w:val="Paragraphedeliste"/>
        <w:numPr>
          <w:ilvl w:val="0"/>
          <w:numId w:val="2"/>
        </w:numPr>
        <w:tabs>
          <w:tab w:val="left" w:pos="8020"/>
        </w:tabs>
        <w:bidi/>
        <w:jc w:val="lowKashida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سنتين (02) في المخالفات، و تسري هذه المواعيد ابتداء من يوم ارتكاب الجريمة إذا لم يتخذ بشأنها أي إجراء، و من يوم آخر إجراء إذا اتخذ بشأنها إجراءات. </w:t>
      </w:r>
      <w:proofErr w:type="gramStart"/>
      <w:r>
        <w:rPr>
          <w:rFonts w:hint="cs"/>
          <w:sz w:val="32"/>
          <w:szCs w:val="32"/>
          <w:rtl/>
          <w:lang w:bidi="ar-DZ"/>
        </w:rPr>
        <w:t>غير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أن مواعيد التقادم هذه لا يبدأ سريانها متى كان المجني عليه قاصرا إلا من يوم بلوغ هذا الأخير سن الرشد المدني (19 سنة كاملة).</w:t>
      </w:r>
    </w:p>
    <w:p w:rsidR="008675AE" w:rsidRPr="002E5F19" w:rsidRDefault="008675AE" w:rsidP="008675AE">
      <w:pPr>
        <w:tabs>
          <w:tab w:val="left" w:pos="8020"/>
        </w:tabs>
        <w:bidi/>
        <w:ind w:left="360"/>
        <w:jc w:val="lowKashida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كما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تجدر الإشارة إلى أن المشرّع قرّر بموجب المادة 08 مكرر من ق.إ.ج أربعة جرائم </w:t>
      </w:r>
      <w:proofErr w:type="spellStart"/>
      <w:r>
        <w:rPr>
          <w:rFonts w:hint="cs"/>
          <w:sz w:val="32"/>
          <w:szCs w:val="32"/>
          <w:rtl/>
          <w:lang w:bidi="ar-DZ"/>
        </w:rPr>
        <w:t>لاتنقضي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بالتقادم مطلقا، و هي: الجرائم الموصوفة أعمالا إرهابية أو تخريبية، الجرائم العابرة للحدود الوطنية، الرشوة، و اختلاس الأموال العمومية.</w:t>
      </w:r>
    </w:p>
    <w:p w:rsidR="008675AE" w:rsidRDefault="008675AE" w:rsidP="008675AE">
      <w:pPr>
        <w:tabs>
          <w:tab w:val="left" w:pos="8020"/>
        </w:tabs>
        <w:bidi/>
        <w:jc w:val="lowKashida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</w:rPr>
        <w:t xml:space="preserve">و </w:t>
      </w:r>
      <w:proofErr w:type="gramStart"/>
      <w:r>
        <w:rPr>
          <w:rFonts w:hint="cs"/>
          <w:sz w:val="32"/>
          <w:szCs w:val="32"/>
          <w:rtl/>
        </w:rPr>
        <w:t>علاوة</w:t>
      </w:r>
      <w:proofErr w:type="gramEnd"/>
      <w:r>
        <w:rPr>
          <w:rFonts w:hint="cs"/>
          <w:sz w:val="32"/>
          <w:szCs w:val="32"/>
          <w:rtl/>
        </w:rPr>
        <w:t xml:space="preserve"> على الطرق العامة لانقضاء الدعوى العمومية، قرر المشرع طرقا أخرى خاصة، إذ </w:t>
      </w:r>
      <w:r>
        <w:rPr>
          <w:rFonts w:hint="cs"/>
          <w:sz w:val="32"/>
          <w:szCs w:val="32"/>
          <w:rtl/>
          <w:lang w:bidi="ar-DZ"/>
        </w:rPr>
        <w:t>تعد من الطرق الخاصة؛ سحب الشكوى متى كانت شرطا لازما للمتابعة و تنفيذ اتفاق الوساطة.</w:t>
      </w:r>
    </w:p>
    <w:p w:rsidR="008675AE" w:rsidRDefault="008675AE" w:rsidP="008675AE">
      <w:pPr>
        <w:pStyle w:val="Paragraphedeliste"/>
        <w:numPr>
          <w:ilvl w:val="0"/>
          <w:numId w:val="3"/>
        </w:numPr>
        <w:tabs>
          <w:tab w:val="left" w:pos="8020"/>
        </w:tabs>
        <w:bidi/>
        <w:jc w:val="lowKashida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سحب الشكوى متى كانت شرطا لازما للمتابعة: الأصل أن سحب الشكوى من المضرور من الجريمة لا يوقف مسار الدعوى العمومية، على اعتبار أنه ليس خصما في موضوع الدعوى، لأنها تتعلّق باقتضاء الحق العام و هو من اختصاص النيابة العامة، ذلك أن المصلحة العامة للمجتمع أولى في الحماية من المصلحة الخاصة للمضرور.</w:t>
      </w:r>
    </w:p>
    <w:p w:rsidR="008675AE" w:rsidRDefault="008675AE" w:rsidP="008675AE">
      <w:pPr>
        <w:tabs>
          <w:tab w:val="left" w:pos="8020"/>
        </w:tabs>
        <w:bidi/>
        <w:ind w:left="360"/>
        <w:jc w:val="lowKashida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غير أنه مع ذلك، و في إطار الجرائم المرتبطة غالبا بالأسرة، ارتأى المشرع أن يغلّب المصلحة الخاصة للأسرة على حساب المصلحة العامة للمجتمع بأن جعل شكوى المضرور من الجريمة شخصيا مناطا و شرطا لازما للمتابعة، بل و جعل من سحب الشكوى في هذه الجرائم يضح حدا للمتابعة الجزائية في حق المتهم. إذا في هذه الحالة تعتبر الشكوى كقيد لضبط سلطة النيابة في المتابعة، و من أمثلة الجرائم التي تعتبر شكوى الضحية فيها شرطا لازما للمتابعة؛</w:t>
      </w:r>
      <w:r w:rsidRPr="00DB6449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ترك الأسرة، عدم تسديد النفقة، عدم تسليم المحضون إلى متولّي الحضانة، جريمة الزنا... ففي مثل هذه الجرائم، و متى تقدّم المضرور بشكواه تباشر النيابة إجراءات المتابعة الجزائية في حق المتهم، و بمجرّد عدول المشتكي و سحب شكواه تنقضي الدعوى العمومية بهذا السحب.</w:t>
      </w:r>
    </w:p>
    <w:p w:rsidR="008675AE" w:rsidRDefault="008675AE" w:rsidP="008675AE">
      <w:pPr>
        <w:pStyle w:val="Paragraphedeliste"/>
        <w:numPr>
          <w:ilvl w:val="0"/>
          <w:numId w:val="3"/>
        </w:numPr>
        <w:tabs>
          <w:tab w:val="left" w:pos="8020"/>
        </w:tabs>
        <w:bidi/>
        <w:jc w:val="lowKashida"/>
        <w:rPr>
          <w:sz w:val="32"/>
          <w:szCs w:val="32"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تنفيذ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اتفاق الوساطة: و هو إجراء استحدثه المشرع الجزائري بمقتضى الأمر 15-02 كطريق خاص لانقضاء الدعوى العمومية.</w:t>
      </w:r>
    </w:p>
    <w:p w:rsidR="008675AE" w:rsidRDefault="008675AE" w:rsidP="008675AE">
      <w:pPr>
        <w:pStyle w:val="Paragraphedeliste"/>
        <w:numPr>
          <w:ilvl w:val="0"/>
          <w:numId w:val="3"/>
        </w:numPr>
        <w:tabs>
          <w:tab w:val="left" w:pos="8020"/>
        </w:tabs>
        <w:bidi/>
        <w:jc w:val="lowKashida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يقصد بالوساطة اتفاق المضرور من الجريمة و </w:t>
      </w:r>
      <w:proofErr w:type="spellStart"/>
      <w:r>
        <w:rPr>
          <w:rFonts w:hint="cs"/>
          <w:sz w:val="32"/>
          <w:szCs w:val="32"/>
          <w:rtl/>
          <w:lang w:bidi="ar-DZ"/>
        </w:rPr>
        <w:t>المشتكى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منه بناء على طلب أحدهما أو من وكيل الجمهورية، على وضع حد للخصومة القائمة بينهما عوض السير في إجراءات المتابعة، بمعنى أنها حل بديل عن المتابعة. و الوساطة بهذا المدلول هي اتفاق مكتوب بين الضحية و </w:t>
      </w:r>
      <w:proofErr w:type="spellStart"/>
      <w:r>
        <w:rPr>
          <w:rFonts w:hint="cs"/>
          <w:sz w:val="32"/>
          <w:szCs w:val="32"/>
          <w:rtl/>
          <w:lang w:bidi="ar-DZ"/>
        </w:rPr>
        <w:t>المشتكى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منه، يتضمن على الأخص؛ أسماء الأطراف و بيان هوياتهم، بيان موجز للوقائع، مضمون الاتفاق، و آجال تنفيذه. يؤرخ الاتفاق و يوقّع عليه كل من الأطراف ووكيل الجمهورية و كاتب الضبط، و يجوز لكل طرف أن يستعين بمحام عند الاتفاق.</w:t>
      </w:r>
    </w:p>
    <w:p w:rsidR="008675AE" w:rsidRDefault="008675AE" w:rsidP="008675AE">
      <w:pPr>
        <w:pStyle w:val="Paragraphedeliste"/>
        <w:tabs>
          <w:tab w:val="left" w:pos="8020"/>
        </w:tabs>
        <w:bidi/>
        <w:jc w:val="lowKashida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lastRenderedPageBreak/>
        <w:t>يتضمّن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الاتفاق عموما جبر الضرر الذي أصاب الضحية، و الذي غالبا ما يكون تعويضا ماديا أو عينيا، و على العموم أي اتفاق آخر يجيزه القانون وفقا للقواعد العامة المقررة للاتفاق في قواعد القانون المدني.</w:t>
      </w:r>
    </w:p>
    <w:p w:rsidR="008675AE" w:rsidRDefault="008675AE" w:rsidP="008675AE">
      <w:pPr>
        <w:pStyle w:val="Paragraphedeliste"/>
        <w:tabs>
          <w:tab w:val="left" w:pos="8020"/>
        </w:tabs>
        <w:bidi/>
        <w:jc w:val="lowKashida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الوساطة جائزة في جميع المخالفات، و في الجنح المحدّدة حصرا بمقتضى المادة 37 مكرر2 ق.إ.ج (كجرائم السب و </w:t>
      </w:r>
      <w:proofErr w:type="gramStart"/>
      <w:r>
        <w:rPr>
          <w:rFonts w:hint="cs"/>
          <w:sz w:val="32"/>
          <w:szCs w:val="32"/>
          <w:rtl/>
          <w:lang w:bidi="ar-DZ"/>
        </w:rPr>
        <w:t>القذف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الاعتداء على الحياة الخاصة و التهديد و الوشاية الكاذبة...)، و هي غير جائزة في مواد الجنايات.</w:t>
      </w:r>
    </w:p>
    <w:p w:rsidR="008675AE" w:rsidRDefault="008675AE" w:rsidP="008675AE">
      <w:pPr>
        <w:pStyle w:val="Paragraphedeliste"/>
        <w:tabs>
          <w:tab w:val="left" w:pos="8020"/>
        </w:tabs>
        <w:bidi/>
        <w:jc w:val="lowKashida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بحلول أجل التنفيذ ينفّذ اتفاق الوساطة بذات الطرق التي تنفّذ </w:t>
      </w:r>
      <w:proofErr w:type="spellStart"/>
      <w:r>
        <w:rPr>
          <w:rFonts w:hint="cs"/>
          <w:sz w:val="32"/>
          <w:szCs w:val="32"/>
          <w:rtl/>
          <w:lang w:bidi="ar-DZ"/>
        </w:rPr>
        <w:t>بها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السندات التنفيذية، أي عن طريق المحضر القضائي، غير أنه إذا امتنع </w:t>
      </w:r>
      <w:proofErr w:type="spellStart"/>
      <w:r>
        <w:rPr>
          <w:rFonts w:hint="cs"/>
          <w:sz w:val="32"/>
          <w:szCs w:val="32"/>
          <w:rtl/>
          <w:lang w:bidi="ar-DZ"/>
        </w:rPr>
        <w:t>المشتكى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منه عمدا عن التنفيذ تقوم في مواجهته جريمة أخرى جديدة علاوة عن الجريمة الأولى التي كانت محلا لاتفاق الوساطة، يطلق عليها جريمة </w:t>
      </w:r>
      <w:proofErr w:type="spellStart"/>
      <w:r>
        <w:rPr>
          <w:rFonts w:hint="cs"/>
          <w:sz w:val="32"/>
          <w:szCs w:val="32"/>
          <w:rtl/>
          <w:lang w:bidi="ar-DZ"/>
        </w:rPr>
        <w:t>الإمتناع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العمد عن تنفيذ اتفاق الوساطة و هي جنحة قد تصل عقوبتها إلى ثلاث سنوات حبسا.</w:t>
      </w:r>
    </w:p>
    <w:p w:rsidR="00A53858" w:rsidRDefault="00A53858" w:rsidP="008675AE">
      <w:pPr>
        <w:tabs>
          <w:tab w:val="left" w:pos="8020"/>
        </w:tabs>
        <w:bidi/>
        <w:ind w:left="720"/>
        <w:jc w:val="center"/>
        <w:rPr>
          <w:lang w:bidi="ar-DZ"/>
        </w:rPr>
      </w:pPr>
    </w:p>
    <w:sectPr w:rsidR="00A53858" w:rsidSect="008B66F5"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4684"/>
    <w:multiLevelType w:val="hybridMultilevel"/>
    <w:tmpl w:val="6F42D8F0"/>
    <w:lvl w:ilvl="0" w:tplc="5204DC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E69F2"/>
    <w:multiLevelType w:val="hybridMultilevel"/>
    <w:tmpl w:val="900475B0"/>
    <w:lvl w:ilvl="0" w:tplc="37CA9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A2F22"/>
    <w:multiLevelType w:val="hybridMultilevel"/>
    <w:tmpl w:val="A476BE0A"/>
    <w:lvl w:ilvl="0" w:tplc="2438F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3858"/>
    <w:rsid w:val="0000609E"/>
    <w:rsid w:val="00050E6E"/>
    <w:rsid w:val="000D6A41"/>
    <w:rsid w:val="000E6573"/>
    <w:rsid w:val="001320FC"/>
    <w:rsid w:val="001817DE"/>
    <w:rsid w:val="001D3910"/>
    <w:rsid w:val="0025743B"/>
    <w:rsid w:val="002B7D26"/>
    <w:rsid w:val="00311215"/>
    <w:rsid w:val="003832AF"/>
    <w:rsid w:val="00385F01"/>
    <w:rsid w:val="004750C2"/>
    <w:rsid w:val="005621CE"/>
    <w:rsid w:val="00624A44"/>
    <w:rsid w:val="00633D92"/>
    <w:rsid w:val="006E757E"/>
    <w:rsid w:val="007D5CC1"/>
    <w:rsid w:val="007F495C"/>
    <w:rsid w:val="008116DB"/>
    <w:rsid w:val="0085099B"/>
    <w:rsid w:val="00855E85"/>
    <w:rsid w:val="008675AE"/>
    <w:rsid w:val="009243C0"/>
    <w:rsid w:val="009B5936"/>
    <w:rsid w:val="009E1CA5"/>
    <w:rsid w:val="00A53858"/>
    <w:rsid w:val="00A8298B"/>
    <w:rsid w:val="00AA29C6"/>
    <w:rsid w:val="00AD75D0"/>
    <w:rsid w:val="00B51C2E"/>
    <w:rsid w:val="00C06338"/>
    <w:rsid w:val="00C93F8A"/>
    <w:rsid w:val="00CC5802"/>
    <w:rsid w:val="00CD3156"/>
    <w:rsid w:val="00D02388"/>
    <w:rsid w:val="00D27932"/>
    <w:rsid w:val="00D83642"/>
    <w:rsid w:val="00DF45AE"/>
    <w:rsid w:val="00DF61B3"/>
    <w:rsid w:val="00E011B3"/>
    <w:rsid w:val="00E056B2"/>
    <w:rsid w:val="00EA0ECC"/>
    <w:rsid w:val="00EC5563"/>
    <w:rsid w:val="00ED3AEA"/>
    <w:rsid w:val="00F1274B"/>
    <w:rsid w:val="00FD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85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5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675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C9B31-FE4F-47B3-9DCF-8D7FD510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doyen</dc:creator>
  <cp:lastModifiedBy>doyen</cp:lastModifiedBy>
  <cp:revision>2</cp:revision>
  <cp:lastPrinted>2020-12-15T07:11:00Z</cp:lastPrinted>
  <dcterms:created xsi:type="dcterms:W3CDTF">2021-02-03T13:15:00Z</dcterms:created>
  <dcterms:modified xsi:type="dcterms:W3CDTF">2021-02-03T13:15:00Z</dcterms:modified>
</cp:coreProperties>
</file>