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A" w:rsidRDefault="00403A57" w:rsidP="00D57963">
      <w:pPr>
        <w:bidi w:val="0"/>
        <w:spacing w:line="360" w:lineRule="auto"/>
        <w:jc w:val="center"/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79EF">
        <w:rPr>
          <w:rFonts w:asciiTheme="majorBidi" w:hAnsiTheme="majorBidi" w:cstheme="majorBidi"/>
          <w:b/>
          <w:bCs/>
          <w:sz w:val="24"/>
          <w:szCs w:val="24"/>
          <w:lang w:val="fr-FR"/>
        </w:rPr>
        <w:t>TP 0</w:t>
      </w:r>
      <w:r w:rsidR="009B50BA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0779EF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386E3B" w:rsidRPr="000779E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D57963"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>Rectification Continue</w:t>
      </w:r>
      <w:r w:rsidR="00411752" w:rsidRPr="000779EF"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F75876" w:rsidRPr="000779EF" w:rsidRDefault="00B77A0A" w:rsidP="00FE623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 xml:space="preserve">Partie </w:t>
      </w:r>
      <w:r w:rsidR="00390152"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>Théorique</w:t>
      </w:r>
      <w:r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390152"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90152" w:rsidRPr="00390152">
        <w:rPr>
          <w:rStyle w:val="shorttext"/>
          <w:rFonts w:asciiTheme="majorBidi" w:hAnsiTheme="majorBidi" w:cstheme="majorBidi"/>
          <w:b/>
          <w:bCs/>
          <w:sz w:val="24"/>
          <w:szCs w:val="24"/>
          <w:lang w:val="fr-FR"/>
        </w:rPr>
        <w:t>Description de l'appareil</w:t>
      </w:r>
      <w:r w:rsidR="009444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"CE </w:t>
      </w:r>
      <w:r w:rsidR="00FE623C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944433">
        <w:rPr>
          <w:rFonts w:asciiTheme="majorBidi" w:hAnsiTheme="majorBidi" w:cstheme="majorBidi"/>
          <w:b/>
          <w:bCs/>
          <w:sz w:val="24"/>
          <w:szCs w:val="24"/>
          <w:lang w:val="fr-FR"/>
        </w:rPr>
        <w:t>00"</w:t>
      </w:r>
    </w:p>
    <w:p w:rsidR="00403A57" w:rsidRDefault="005176BD" w:rsidP="005054E8">
      <w:pPr>
        <w:pStyle w:val="Paragraphedeliste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054E8">
        <w:rPr>
          <w:rFonts w:asciiTheme="majorBidi" w:hAnsiTheme="majorBidi" w:cstheme="majorBidi"/>
          <w:b/>
          <w:bCs/>
          <w:sz w:val="24"/>
          <w:szCs w:val="24"/>
          <w:lang w:val="fr-FR"/>
        </w:rPr>
        <w:t>Introduction</w:t>
      </w:r>
      <w:r w:rsidR="00757553" w:rsidRPr="005054E8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FE623C" w:rsidRPr="00FE623C" w:rsidRDefault="00FE623C" w:rsidP="0096270A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E623C">
        <w:rPr>
          <w:rFonts w:asciiTheme="majorBidi" w:hAnsiTheme="majorBidi" w:cstheme="majorBidi"/>
          <w:sz w:val="24"/>
          <w:szCs w:val="24"/>
          <w:lang w:val="fr-FR"/>
        </w:rPr>
        <w:t>Dans la technique physico-chimique, les mélanges de liquides solubles l’un dans l’autre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E623C">
        <w:rPr>
          <w:rFonts w:asciiTheme="majorBidi" w:hAnsiTheme="majorBidi" w:cstheme="majorBidi"/>
          <w:sz w:val="24"/>
          <w:szCs w:val="24"/>
          <w:lang w:val="fr-FR"/>
        </w:rPr>
        <w:t>sont souvent séparés à l'aide de procédés thermiques. Les principaux procédés utilisés sont la distillation et la rectification.</w:t>
      </w:r>
    </w:p>
    <w:p w:rsidR="00FE623C" w:rsidRDefault="00FE623C" w:rsidP="00E36DEC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E623C">
        <w:rPr>
          <w:rFonts w:asciiTheme="majorBidi" w:hAnsiTheme="majorBidi" w:cstheme="majorBidi"/>
          <w:sz w:val="24"/>
          <w:szCs w:val="24"/>
          <w:lang w:val="fr-FR"/>
        </w:rPr>
        <w:t>La  Rectification continue CE 600 permet d’effectuer une séparation thermique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E623C">
        <w:rPr>
          <w:rFonts w:asciiTheme="majorBidi" w:hAnsiTheme="majorBidi" w:cstheme="majorBidi"/>
          <w:sz w:val="24"/>
          <w:szCs w:val="24"/>
          <w:lang w:val="fr-FR"/>
        </w:rPr>
        <w:t xml:space="preserve">mélanges de liquides </w:t>
      </w:r>
      <w:r w:rsidR="00E36DEC">
        <w:rPr>
          <w:rFonts w:asciiTheme="majorBidi" w:hAnsiTheme="majorBidi" w:cstheme="majorBidi"/>
          <w:sz w:val="24"/>
          <w:szCs w:val="24"/>
          <w:lang w:val="fr-FR"/>
        </w:rPr>
        <w:t xml:space="preserve">homogènes </w:t>
      </w:r>
      <w:r w:rsidRPr="00FE623C">
        <w:rPr>
          <w:rFonts w:asciiTheme="majorBidi" w:hAnsiTheme="majorBidi" w:cstheme="majorBidi"/>
          <w:sz w:val="24"/>
          <w:szCs w:val="24"/>
          <w:lang w:val="fr-FR"/>
        </w:rPr>
        <w:t xml:space="preserve">par  rectification </w:t>
      </w:r>
      <w:r w:rsidR="00E36DEC">
        <w:rPr>
          <w:rFonts w:asciiTheme="majorBidi" w:hAnsiTheme="majorBidi" w:cstheme="majorBidi"/>
          <w:sz w:val="24"/>
          <w:szCs w:val="24"/>
          <w:lang w:val="fr-FR"/>
        </w:rPr>
        <w:t>à l'échelle</w:t>
      </w:r>
      <w:r w:rsidRPr="00FE623C">
        <w:rPr>
          <w:rFonts w:asciiTheme="majorBidi" w:hAnsiTheme="majorBidi" w:cstheme="majorBidi"/>
          <w:sz w:val="24"/>
          <w:szCs w:val="24"/>
          <w:lang w:val="fr-FR"/>
        </w:rPr>
        <w:t xml:space="preserve"> expérimenta</w:t>
      </w:r>
      <w:r w:rsidR="00E36DEC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96270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96270A" w:rsidRPr="0096270A" w:rsidRDefault="0096270A" w:rsidP="0096270A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6270A">
        <w:rPr>
          <w:rFonts w:asciiTheme="majorBidi" w:hAnsiTheme="majorBidi" w:cstheme="majorBidi"/>
          <w:sz w:val="24"/>
          <w:szCs w:val="24"/>
          <w:lang w:val="fr-FR"/>
        </w:rPr>
        <w:t>L'installation se compose d'un réservoir de bas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colonne à chauffage électrique à l'intérieur duquel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le mélange liqui</w:t>
      </w:r>
      <w:r>
        <w:rPr>
          <w:rFonts w:asciiTheme="majorBidi" w:hAnsiTheme="majorBidi" w:cstheme="majorBidi"/>
          <w:sz w:val="24"/>
          <w:szCs w:val="24"/>
          <w:lang w:val="fr-FR"/>
        </w:rPr>
        <w:t>de de départ est chauffé et éva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poré. La vapeur monte dans une colonne et 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liquéfie de nouveau dans un condenseur refroidi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par eau. Le condensat peut ensuite être évacué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 xml:space="preserve">complètement </w:t>
      </w:r>
      <w:r>
        <w:rPr>
          <w:rFonts w:asciiTheme="majorBidi" w:hAnsiTheme="majorBidi" w:cstheme="majorBidi"/>
          <w:sz w:val="24"/>
          <w:szCs w:val="24"/>
          <w:lang w:val="fr-FR"/>
        </w:rPr>
        <w:t>comme produit de tête ou de nou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veau être redirigé en totalité ou en partie dans la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colonne.</w:t>
      </w:r>
    </w:p>
    <w:p w:rsidR="0096270A" w:rsidRPr="0096270A" w:rsidRDefault="0096270A" w:rsidP="004A603A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6270A">
        <w:rPr>
          <w:rFonts w:asciiTheme="majorBidi" w:hAnsiTheme="majorBidi" w:cstheme="majorBidi"/>
          <w:sz w:val="24"/>
          <w:szCs w:val="24"/>
          <w:lang w:val="fr-FR"/>
        </w:rPr>
        <w:t>Une colonne à plateaux perforés et une colonne à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remplissage sont disponibles pour les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expérimen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tations. La tête de colonne comporte un raccord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pour le retour du distillat.</w:t>
      </w:r>
    </w:p>
    <w:p w:rsidR="0096270A" w:rsidRPr="0096270A" w:rsidRDefault="0096270A" w:rsidP="004A603A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6270A">
        <w:rPr>
          <w:rFonts w:asciiTheme="majorBidi" w:hAnsiTheme="majorBidi" w:cstheme="majorBidi"/>
          <w:sz w:val="24"/>
          <w:szCs w:val="24"/>
          <w:lang w:val="fr-FR"/>
        </w:rPr>
        <w:t xml:space="preserve">Une pompe permet de </w:t>
      </w:r>
      <w:proofErr w:type="spellStart"/>
      <w:r w:rsidRPr="0096270A">
        <w:rPr>
          <w:rFonts w:asciiTheme="majorBidi" w:hAnsiTheme="majorBidi" w:cstheme="majorBidi"/>
          <w:sz w:val="24"/>
          <w:szCs w:val="24"/>
          <w:lang w:val="fr-FR"/>
        </w:rPr>
        <w:t>re</w:t>
      </w:r>
      <w:proofErr w:type="spellEnd"/>
      <w:r w:rsidRPr="0096270A">
        <w:rPr>
          <w:rFonts w:asciiTheme="majorBidi" w:hAnsiTheme="majorBidi" w:cstheme="majorBidi"/>
          <w:sz w:val="24"/>
          <w:szCs w:val="24"/>
          <w:lang w:val="fr-FR"/>
        </w:rPr>
        <w:t>-pomper du mélange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dans la colonne pour la  réalisation d’essais en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continu. À cet effet, la colonne à plateaux perforés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possède trois raccords placés à différentes hauteurs. Le comportement de séparation change en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fonction du racco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>rd choisi. La colonne à remplis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sage</w:t>
      </w:r>
      <w:r w:rsidR="004A60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 xml:space="preserve">possède un raccord à mi-hauteur. </w:t>
      </w:r>
    </w:p>
    <w:p w:rsidR="0096270A" w:rsidRDefault="0096270A" w:rsidP="005D45AD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6270A">
        <w:rPr>
          <w:rFonts w:asciiTheme="majorBidi" w:hAnsiTheme="majorBidi" w:cstheme="majorBidi"/>
          <w:sz w:val="24"/>
          <w:szCs w:val="24"/>
          <w:lang w:val="fr-FR"/>
        </w:rPr>
        <w:t>Un échangeur de chaleur permet de préchauffer</w:t>
      </w:r>
      <w:r w:rsidR="005D45A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70A">
        <w:rPr>
          <w:rFonts w:asciiTheme="majorBidi" w:hAnsiTheme="majorBidi" w:cstheme="majorBidi"/>
          <w:sz w:val="24"/>
          <w:szCs w:val="24"/>
          <w:lang w:val="fr-FR"/>
        </w:rPr>
        <w:t>les liquides pompés.</w:t>
      </w:r>
    </w:p>
    <w:p w:rsidR="005D45AD" w:rsidRPr="005D45AD" w:rsidRDefault="005D45AD" w:rsidP="005D45AD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D45AD">
        <w:rPr>
          <w:rFonts w:asciiTheme="majorBidi" w:hAnsiTheme="majorBidi" w:cstheme="majorBidi"/>
          <w:sz w:val="24"/>
          <w:szCs w:val="24"/>
          <w:lang w:val="fr-FR"/>
        </w:rPr>
        <w:t>Une pompe à jet d'eau permet de produire une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dépression dans l'ensemble du système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tuyauteries pour la rectification sous vide.</w:t>
      </w:r>
    </w:p>
    <w:p w:rsidR="00296E16" w:rsidRPr="00296E16" w:rsidRDefault="005D45AD" w:rsidP="00296E16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D45AD">
        <w:rPr>
          <w:rFonts w:asciiTheme="majorBidi" w:hAnsiTheme="majorBidi" w:cstheme="majorBidi"/>
          <w:sz w:val="24"/>
          <w:szCs w:val="24"/>
          <w:lang w:val="fr-FR"/>
        </w:rPr>
        <w:t>L’installation peut  être commandée localement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par le coffret de commande correspondant. Il est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cependant inté</w:t>
      </w:r>
      <w:r>
        <w:rPr>
          <w:rFonts w:asciiTheme="majorBidi" w:hAnsiTheme="majorBidi" w:cstheme="majorBidi"/>
          <w:sz w:val="24"/>
          <w:szCs w:val="24"/>
          <w:lang w:val="fr-FR"/>
        </w:rPr>
        <w:t>ressant de commander l’installa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tion depuis un PC moyennant l’utilisation d’un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logiciel faisant partie de l’installation. Les valeurs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de mesure peuvent alors être relevées et enregistrées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D45AD">
        <w:rPr>
          <w:rFonts w:asciiTheme="majorBidi" w:hAnsiTheme="majorBidi" w:cstheme="majorBidi"/>
          <w:sz w:val="24"/>
          <w:szCs w:val="24"/>
          <w:lang w:val="fr-FR"/>
        </w:rPr>
        <w:t>automatiquement.</w:t>
      </w:r>
    </w:p>
    <w:p w:rsidR="00296E16" w:rsidRDefault="00296E16" w:rsidP="00296E16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890601" w:rsidRDefault="00890601" w:rsidP="00FA152C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A152C" w:rsidRDefault="00FA152C" w:rsidP="00FA152C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A152C" w:rsidRDefault="00FA152C" w:rsidP="00FA152C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CB416E" w:rsidRDefault="00FA152C" w:rsidP="00890601">
      <w:pPr>
        <w:pStyle w:val="Paragraphedeliste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diagramme</w:t>
      </w:r>
      <w:r w:rsidR="00353D46" w:rsidRPr="001C631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du processus</w:t>
      </w:r>
      <w:r w:rsidR="00122AC9" w:rsidRPr="001C631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de l'installation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de rectification</w:t>
      </w:r>
      <w:r w:rsidR="00122AC9" w:rsidRPr="001C631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CE </w:t>
      </w:r>
      <w:r w:rsidR="00296E16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122AC9" w:rsidRPr="001C6313">
        <w:rPr>
          <w:rFonts w:asciiTheme="majorBidi" w:hAnsiTheme="majorBidi" w:cstheme="majorBidi"/>
          <w:b/>
          <w:bCs/>
          <w:sz w:val="24"/>
          <w:szCs w:val="24"/>
          <w:lang w:val="fr-FR"/>
        </w:rPr>
        <w:t>00</w:t>
      </w:r>
      <w:r w:rsidR="00353D46" w:rsidRPr="001C6313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CE0617" w:rsidRDefault="00D37743" w:rsidP="00CE0617">
      <w:pPr>
        <w:bidi w:val="0"/>
        <w:spacing w:line="360" w:lineRule="auto"/>
        <w:ind w:firstLine="567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300470" cy="7083294"/>
            <wp:effectExtent l="19050" t="0" r="508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08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17" w:rsidRDefault="00CE0617" w:rsidP="00CE061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CE0617" w:rsidRDefault="00CE0617" w:rsidP="00CE061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CE0617" w:rsidRDefault="00CE0617" w:rsidP="00CE061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CE0617" w:rsidRDefault="00CE0617" w:rsidP="00CE061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CE0617" w:rsidRDefault="00CE0617" w:rsidP="00CE061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E4368D" w:rsidRDefault="00E4368D" w:rsidP="00777598">
      <w:pPr>
        <w:pStyle w:val="Paragraphedeliste"/>
        <w:numPr>
          <w:ilvl w:val="0"/>
          <w:numId w:val="13"/>
        </w:numPr>
        <w:tabs>
          <w:tab w:val="left" w:pos="1275"/>
        </w:tabs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4368D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Structure de l’appareil</w:t>
      </w:r>
      <w:r w:rsidR="00777598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6B3619" w:rsidRDefault="006B3619" w:rsidP="00D37743">
      <w:pPr>
        <w:pStyle w:val="Paragraphedeliste"/>
        <w:tabs>
          <w:tab w:val="left" w:pos="1275"/>
        </w:tabs>
        <w:bidi w:val="0"/>
        <w:spacing w:line="360" w:lineRule="auto"/>
        <w:ind w:left="2520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231BB0" w:rsidP="00231BB0">
      <w:pPr>
        <w:pStyle w:val="Paragraphedeliste"/>
        <w:tabs>
          <w:tab w:val="left" w:pos="1275"/>
          <w:tab w:val="left" w:pos="2325"/>
        </w:tabs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300470" cy="6158679"/>
            <wp:effectExtent l="19050" t="0" r="5080" b="0"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1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7743" w:rsidRDefault="00D37743" w:rsidP="00D37743">
      <w:pPr>
        <w:pStyle w:val="Paragraphedeliste"/>
        <w:tabs>
          <w:tab w:val="left" w:pos="1275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D36D47" w:rsidRDefault="00F46D10" w:rsidP="00715C82">
      <w:pPr>
        <w:pStyle w:val="Paragraphedeliste"/>
        <w:numPr>
          <w:ilvl w:val="0"/>
          <w:numId w:val="13"/>
        </w:numPr>
        <w:tabs>
          <w:tab w:val="left" w:pos="1590"/>
        </w:tabs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C</w:t>
      </w:r>
      <w:r w:rsidR="00D36D47" w:rsidRPr="00D36D47">
        <w:rPr>
          <w:rFonts w:asciiTheme="majorBidi" w:hAnsiTheme="majorBidi" w:cstheme="majorBidi"/>
          <w:b/>
          <w:bCs/>
          <w:sz w:val="24"/>
          <w:szCs w:val="24"/>
          <w:lang w:val="fr-FR"/>
        </w:rPr>
        <w:t>offret de commande</w:t>
      </w:r>
      <w:r w:rsidR="00715C82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574323" w:rsidRDefault="00574323" w:rsidP="00574323">
      <w:pPr>
        <w:pStyle w:val="Paragraphedeliste"/>
        <w:tabs>
          <w:tab w:val="left" w:pos="1590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74323">
        <w:rPr>
          <w:rFonts w:asciiTheme="majorBidi" w:hAnsiTheme="majorBidi" w:cstheme="majorBidi"/>
          <w:sz w:val="24"/>
          <w:szCs w:val="24"/>
          <w:lang w:val="fr-FR"/>
        </w:rPr>
        <w:t>Certaines fonctions de commutation et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74323">
        <w:rPr>
          <w:rFonts w:asciiTheme="majorBidi" w:hAnsiTheme="majorBidi" w:cstheme="majorBidi"/>
          <w:sz w:val="24"/>
          <w:szCs w:val="24"/>
          <w:lang w:val="fr-FR"/>
        </w:rPr>
        <w:t>contrôle peuvent être exécutées au travers du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74323">
        <w:rPr>
          <w:rFonts w:asciiTheme="majorBidi" w:hAnsiTheme="majorBidi" w:cstheme="majorBidi"/>
          <w:sz w:val="24"/>
          <w:szCs w:val="24"/>
          <w:lang w:val="fr-FR"/>
        </w:rPr>
        <w:t>coffret de commande électrique.</w:t>
      </w:r>
    </w:p>
    <w:p w:rsidR="00903461" w:rsidRDefault="00903461" w:rsidP="00903461">
      <w:pPr>
        <w:pStyle w:val="Paragraphedeliste"/>
        <w:tabs>
          <w:tab w:val="left" w:pos="1590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158E6" w:rsidRDefault="00C158E6" w:rsidP="00C158E6">
      <w:pPr>
        <w:pStyle w:val="Paragraphedeliste"/>
        <w:tabs>
          <w:tab w:val="left" w:pos="1590"/>
        </w:tabs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810250" cy="4352925"/>
            <wp:effectExtent l="19050" t="0" r="0" b="0"/>
            <wp:docPr id="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20" cy="43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23" w:rsidRPr="00574323" w:rsidRDefault="00574323" w:rsidP="00574323">
      <w:pPr>
        <w:pStyle w:val="Paragraphedeliste"/>
        <w:tabs>
          <w:tab w:val="left" w:pos="1590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sectPr w:rsidR="00574323" w:rsidRPr="00574323" w:rsidSect="0068160E">
      <w:headerReference w:type="default" r:id="rId10"/>
      <w:footerReference w:type="default" r:id="rId11"/>
      <w:pgSz w:w="11906" w:h="16838"/>
      <w:pgMar w:top="567" w:right="991" w:bottom="56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B1" w:rsidRDefault="001F40B1" w:rsidP="00403A57">
      <w:pPr>
        <w:spacing w:after="0" w:line="240" w:lineRule="auto"/>
      </w:pPr>
      <w:r>
        <w:separator/>
      </w:r>
    </w:p>
  </w:endnote>
  <w:endnote w:type="continuationSeparator" w:id="0">
    <w:p w:rsidR="001F40B1" w:rsidRDefault="001F40B1" w:rsidP="0040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91114160"/>
      <w:docPartObj>
        <w:docPartGallery w:val="Page Numbers (Bottom of Page)"/>
        <w:docPartUnique/>
      </w:docPartObj>
    </w:sdtPr>
    <w:sdtContent>
      <w:p w:rsidR="00FF1D62" w:rsidRDefault="00890601">
        <w:pPr>
          <w:pStyle w:val="Pieddepage"/>
        </w:pPr>
        <w:r w:rsidRPr="00230CE3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097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097">
                <w:txbxContent>
                  <w:p w:rsidR="00890601" w:rsidRDefault="00890601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903461" w:rsidRPr="00903461">
                      <w:rPr>
                        <w:noProof/>
                        <w:sz w:val="16"/>
                        <w:szCs w:val="16"/>
                        <w:rtl/>
                      </w:rPr>
                      <w:t>4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B1" w:rsidRDefault="001F40B1" w:rsidP="00403A57">
      <w:pPr>
        <w:spacing w:after="0" w:line="240" w:lineRule="auto"/>
      </w:pPr>
      <w:r>
        <w:separator/>
      </w:r>
    </w:p>
  </w:footnote>
  <w:footnote w:type="continuationSeparator" w:id="0">
    <w:p w:rsidR="001F40B1" w:rsidRDefault="001F40B1" w:rsidP="0040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i/>
        <w:iCs/>
        <w:sz w:val="20"/>
        <w:szCs w:val="20"/>
        <w:rtl/>
        <w:lang w:val="fr-FR"/>
      </w:rPr>
      <w:alias w:val="Titre"/>
      <w:id w:val="77738743"/>
      <w:placeholder>
        <w:docPart w:val="4E07A473284741A8B60309D723F413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411E" w:rsidRPr="007B411E" w:rsidRDefault="007B411E" w:rsidP="007B41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 w:rsidRPr="007B411E">
          <w:rPr>
            <w:rFonts w:asciiTheme="majorBidi" w:hAnsiTheme="majorBidi" w:cstheme="majorBidi"/>
            <w:b/>
            <w:bCs/>
            <w:i/>
            <w:iCs/>
            <w:sz w:val="20"/>
            <w:szCs w:val="20"/>
            <w:lang w:val="fr-FR"/>
          </w:rPr>
          <w:t xml:space="preserve">Département de Génie Des Procédés                   </w:t>
        </w:r>
        <w:r>
          <w:rPr>
            <w:rFonts w:asciiTheme="majorBidi" w:hAnsiTheme="majorBidi" w:cstheme="majorBidi"/>
            <w:b/>
            <w:bCs/>
            <w:i/>
            <w:iCs/>
            <w:sz w:val="20"/>
            <w:szCs w:val="20"/>
            <w:lang w:val="fr-FR"/>
          </w:rPr>
          <w:t xml:space="preserve">        </w:t>
        </w:r>
        <w:r w:rsidRPr="007B411E">
          <w:rPr>
            <w:rFonts w:asciiTheme="majorBidi" w:hAnsiTheme="majorBidi" w:cstheme="majorBidi"/>
            <w:b/>
            <w:bCs/>
            <w:i/>
            <w:iCs/>
            <w:sz w:val="20"/>
            <w:szCs w:val="20"/>
            <w:lang w:val="fr-FR"/>
          </w:rPr>
          <w:t xml:space="preserve">                                  1ére Année Master Génie Chimique</w:t>
        </w:r>
      </w:p>
    </w:sdtContent>
  </w:sdt>
  <w:p w:rsidR="00403A57" w:rsidRPr="007B411E" w:rsidRDefault="00403A57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11.25pt;height:11.25pt" o:bullet="t">
        <v:imagedata r:id="rId1" o:title="msoCDA5"/>
      </v:shape>
    </w:pict>
  </w:numPicBullet>
  <w:abstractNum w:abstractNumId="0">
    <w:nsid w:val="03796578"/>
    <w:multiLevelType w:val="hybridMultilevel"/>
    <w:tmpl w:val="CC94C9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17F7D"/>
    <w:multiLevelType w:val="hybridMultilevel"/>
    <w:tmpl w:val="314EFBC0"/>
    <w:lvl w:ilvl="0" w:tplc="96F2610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439AC"/>
    <w:multiLevelType w:val="hybridMultilevel"/>
    <w:tmpl w:val="7710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1C73"/>
    <w:multiLevelType w:val="hybridMultilevel"/>
    <w:tmpl w:val="5EF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3204E"/>
    <w:multiLevelType w:val="hybridMultilevel"/>
    <w:tmpl w:val="B3DC70EC"/>
    <w:lvl w:ilvl="0" w:tplc="2FECC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25E12"/>
    <w:multiLevelType w:val="hybridMultilevel"/>
    <w:tmpl w:val="CE36AC4A"/>
    <w:lvl w:ilvl="0" w:tplc="B1B292A8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1F10827"/>
    <w:multiLevelType w:val="hybridMultilevel"/>
    <w:tmpl w:val="013A79DE"/>
    <w:lvl w:ilvl="0" w:tplc="9AD097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270F5"/>
    <w:multiLevelType w:val="hybridMultilevel"/>
    <w:tmpl w:val="8D14C620"/>
    <w:lvl w:ilvl="0" w:tplc="AC90B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A4664"/>
    <w:multiLevelType w:val="hybridMultilevel"/>
    <w:tmpl w:val="6088B9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D2E42"/>
    <w:multiLevelType w:val="hybridMultilevel"/>
    <w:tmpl w:val="D688D0D4"/>
    <w:lvl w:ilvl="0" w:tplc="9AEA83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91DA4"/>
    <w:multiLevelType w:val="hybridMultilevel"/>
    <w:tmpl w:val="F2B0D3CA"/>
    <w:lvl w:ilvl="0" w:tplc="ED22B3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8F0115"/>
    <w:multiLevelType w:val="hybridMultilevel"/>
    <w:tmpl w:val="0C4867D6"/>
    <w:lvl w:ilvl="0" w:tplc="9C248CE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29E"/>
    <w:multiLevelType w:val="hybridMultilevel"/>
    <w:tmpl w:val="5D96AC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35ADE"/>
    <w:multiLevelType w:val="hybridMultilevel"/>
    <w:tmpl w:val="E03E646A"/>
    <w:lvl w:ilvl="0" w:tplc="B3AA09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618EF"/>
    <w:multiLevelType w:val="hybridMultilevel"/>
    <w:tmpl w:val="CE36AC4A"/>
    <w:lvl w:ilvl="0" w:tplc="B1B292A8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3A57"/>
    <w:rsid w:val="00056639"/>
    <w:rsid w:val="00074502"/>
    <w:rsid w:val="00076880"/>
    <w:rsid w:val="000779EF"/>
    <w:rsid w:val="00081AF8"/>
    <w:rsid w:val="000A4AEF"/>
    <w:rsid w:val="000F4A74"/>
    <w:rsid w:val="00122AC9"/>
    <w:rsid w:val="0012767B"/>
    <w:rsid w:val="001B362F"/>
    <w:rsid w:val="001C6313"/>
    <w:rsid w:val="001D6E3F"/>
    <w:rsid w:val="001F40B1"/>
    <w:rsid w:val="00202E8E"/>
    <w:rsid w:val="002256F5"/>
    <w:rsid w:val="00231BB0"/>
    <w:rsid w:val="0023208B"/>
    <w:rsid w:val="002630CC"/>
    <w:rsid w:val="0026406C"/>
    <w:rsid w:val="00266AC8"/>
    <w:rsid w:val="002773E3"/>
    <w:rsid w:val="002952D0"/>
    <w:rsid w:val="00296E16"/>
    <w:rsid w:val="00297F5E"/>
    <w:rsid w:val="002C6D4E"/>
    <w:rsid w:val="002E0CFC"/>
    <w:rsid w:val="002F6606"/>
    <w:rsid w:val="002F6807"/>
    <w:rsid w:val="00326800"/>
    <w:rsid w:val="00353D46"/>
    <w:rsid w:val="0036336F"/>
    <w:rsid w:val="00386E3B"/>
    <w:rsid w:val="00390152"/>
    <w:rsid w:val="003D65EA"/>
    <w:rsid w:val="00403A57"/>
    <w:rsid w:val="00411752"/>
    <w:rsid w:val="00444123"/>
    <w:rsid w:val="00452646"/>
    <w:rsid w:val="004526BD"/>
    <w:rsid w:val="004A603A"/>
    <w:rsid w:val="004B372B"/>
    <w:rsid w:val="004D7DFD"/>
    <w:rsid w:val="004F5150"/>
    <w:rsid w:val="00500F2A"/>
    <w:rsid w:val="005054E8"/>
    <w:rsid w:val="00512819"/>
    <w:rsid w:val="005176BD"/>
    <w:rsid w:val="00520A4F"/>
    <w:rsid w:val="00522CD0"/>
    <w:rsid w:val="00562B36"/>
    <w:rsid w:val="00574323"/>
    <w:rsid w:val="00581B59"/>
    <w:rsid w:val="00585DF1"/>
    <w:rsid w:val="0058697E"/>
    <w:rsid w:val="005D04AA"/>
    <w:rsid w:val="005D45AD"/>
    <w:rsid w:val="005E141E"/>
    <w:rsid w:val="005E1AC0"/>
    <w:rsid w:val="00610969"/>
    <w:rsid w:val="00613330"/>
    <w:rsid w:val="006550BC"/>
    <w:rsid w:val="0068160E"/>
    <w:rsid w:val="006816AB"/>
    <w:rsid w:val="006A1BCC"/>
    <w:rsid w:val="006B3619"/>
    <w:rsid w:val="006C25DC"/>
    <w:rsid w:val="006E4B79"/>
    <w:rsid w:val="006E7B5A"/>
    <w:rsid w:val="00715C82"/>
    <w:rsid w:val="00740E28"/>
    <w:rsid w:val="00741AA6"/>
    <w:rsid w:val="00757553"/>
    <w:rsid w:val="00777598"/>
    <w:rsid w:val="00793710"/>
    <w:rsid w:val="007B411E"/>
    <w:rsid w:val="007B46A3"/>
    <w:rsid w:val="007B4B54"/>
    <w:rsid w:val="007C17C7"/>
    <w:rsid w:val="00811D9C"/>
    <w:rsid w:val="008216F5"/>
    <w:rsid w:val="00850D1C"/>
    <w:rsid w:val="00861973"/>
    <w:rsid w:val="008825E7"/>
    <w:rsid w:val="008834AE"/>
    <w:rsid w:val="00890601"/>
    <w:rsid w:val="00897EAA"/>
    <w:rsid w:val="008D3B47"/>
    <w:rsid w:val="008E6575"/>
    <w:rsid w:val="008E713D"/>
    <w:rsid w:val="00903461"/>
    <w:rsid w:val="00904A6E"/>
    <w:rsid w:val="00943EB7"/>
    <w:rsid w:val="00944433"/>
    <w:rsid w:val="0095145C"/>
    <w:rsid w:val="0096270A"/>
    <w:rsid w:val="00987975"/>
    <w:rsid w:val="009A43E9"/>
    <w:rsid w:val="009B50BA"/>
    <w:rsid w:val="00A12C71"/>
    <w:rsid w:val="00A17B7E"/>
    <w:rsid w:val="00A20EAE"/>
    <w:rsid w:val="00A3664B"/>
    <w:rsid w:val="00A97154"/>
    <w:rsid w:val="00AA6964"/>
    <w:rsid w:val="00AC138E"/>
    <w:rsid w:val="00AC706E"/>
    <w:rsid w:val="00AD3B00"/>
    <w:rsid w:val="00B2178C"/>
    <w:rsid w:val="00B22DB3"/>
    <w:rsid w:val="00B24B6F"/>
    <w:rsid w:val="00B26A8B"/>
    <w:rsid w:val="00B40C0B"/>
    <w:rsid w:val="00B63CF5"/>
    <w:rsid w:val="00B77A0A"/>
    <w:rsid w:val="00B808B4"/>
    <w:rsid w:val="00B81714"/>
    <w:rsid w:val="00BC21CA"/>
    <w:rsid w:val="00BF75CB"/>
    <w:rsid w:val="00C14707"/>
    <w:rsid w:val="00C154CE"/>
    <w:rsid w:val="00C158E6"/>
    <w:rsid w:val="00C21CC1"/>
    <w:rsid w:val="00C51DB8"/>
    <w:rsid w:val="00CB416E"/>
    <w:rsid w:val="00CD27EB"/>
    <w:rsid w:val="00CE0617"/>
    <w:rsid w:val="00CE2511"/>
    <w:rsid w:val="00CF192B"/>
    <w:rsid w:val="00D06C1E"/>
    <w:rsid w:val="00D31EF2"/>
    <w:rsid w:val="00D36D47"/>
    <w:rsid w:val="00D37743"/>
    <w:rsid w:val="00D447A2"/>
    <w:rsid w:val="00D57963"/>
    <w:rsid w:val="00DE0658"/>
    <w:rsid w:val="00DF3576"/>
    <w:rsid w:val="00DF78BB"/>
    <w:rsid w:val="00E06220"/>
    <w:rsid w:val="00E06505"/>
    <w:rsid w:val="00E36DEC"/>
    <w:rsid w:val="00E4368D"/>
    <w:rsid w:val="00E43BAE"/>
    <w:rsid w:val="00E612AC"/>
    <w:rsid w:val="00E7120E"/>
    <w:rsid w:val="00E72E64"/>
    <w:rsid w:val="00E82EEA"/>
    <w:rsid w:val="00E8523E"/>
    <w:rsid w:val="00EB38B4"/>
    <w:rsid w:val="00EB5D71"/>
    <w:rsid w:val="00F13361"/>
    <w:rsid w:val="00F344DC"/>
    <w:rsid w:val="00F36BE4"/>
    <w:rsid w:val="00F41944"/>
    <w:rsid w:val="00F4458F"/>
    <w:rsid w:val="00F46D10"/>
    <w:rsid w:val="00F47379"/>
    <w:rsid w:val="00F51321"/>
    <w:rsid w:val="00F517B5"/>
    <w:rsid w:val="00F75876"/>
    <w:rsid w:val="00F82CBC"/>
    <w:rsid w:val="00F85EE5"/>
    <w:rsid w:val="00F97558"/>
    <w:rsid w:val="00FA152C"/>
    <w:rsid w:val="00FE623C"/>
    <w:rsid w:val="00F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B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A57"/>
  </w:style>
  <w:style w:type="paragraph" w:styleId="Pieddepage">
    <w:name w:val="footer"/>
    <w:basedOn w:val="Normal"/>
    <w:link w:val="PieddepageCar"/>
    <w:uiPriority w:val="99"/>
    <w:unhideWhenUsed/>
    <w:rsid w:val="0040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A57"/>
  </w:style>
  <w:style w:type="paragraph" w:styleId="Textedebulles">
    <w:name w:val="Balloon Text"/>
    <w:basedOn w:val="Normal"/>
    <w:link w:val="TextedebullesCar"/>
    <w:uiPriority w:val="99"/>
    <w:semiHidden/>
    <w:unhideWhenUsed/>
    <w:rsid w:val="0040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A5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386E3B"/>
  </w:style>
  <w:style w:type="paragraph" w:styleId="Paragraphedeliste">
    <w:name w:val="List Paragraph"/>
    <w:basedOn w:val="Normal"/>
    <w:uiPriority w:val="34"/>
    <w:qFormat/>
    <w:rsid w:val="002E0CFC"/>
    <w:pPr>
      <w:ind w:left="720"/>
      <w:contextualSpacing/>
    </w:pPr>
  </w:style>
  <w:style w:type="character" w:customStyle="1" w:styleId="alt-edited">
    <w:name w:val="alt-edited"/>
    <w:basedOn w:val="Policepardfaut"/>
    <w:rsid w:val="00F85EE5"/>
  </w:style>
  <w:style w:type="paragraph" w:styleId="PrformatHTML">
    <w:name w:val="HTML Preformatted"/>
    <w:basedOn w:val="Normal"/>
    <w:link w:val="PrformatHTMLCar"/>
    <w:uiPriority w:val="99"/>
    <w:unhideWhenUsed/>
    <w:rsid w:val="0085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0D1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44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Policepardfaut"/>
    <w:rsid w:val="00F344DC"/>
  </w:style>
  <w:style w:type="character" w:styleId="Lienhypertexte">
    <w:name w:val="Hyperlink"/>
    <w:basedOn w:val="Policepardfaut"/>
    <w:uiPriority w:val="99"/>
    <w:semiHidden/>
    <w:unhideWhenUsed/>
    <w:rsid w:val="00F344D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344DC"/>
    <w:rPr>
      <w:color w:val="808080"/>
    </w:rPr>
  </w:style>
  <w:style w:type="table" w:styleId="Grilledutableau">
    <w:name w:val="Table Grid"/>
    <w:basedOn w:val="TableauNormal"/>
    <w:uiPriority w:val="59"/>
    <w:rsid w:val="00CE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07A473284741A8B60309D723F41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D16E9-8B0B-4040-B73F-FE1D2819B9FF}"/>
      </w:docPartPr>
      <w:docPartBody>
        <w:p w:rsidR="00F260A0" w:rsidRDefault="00433235" w:rsidP="00433235">
          <w:pPr>
            <w:pStyle w:val="4E07A473284741A8B60309D723F4132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1A09E3"/>
    <w:rsid w:val="0015715C"/>
    <w:rsid w:val="001A09E3"/>
    <w:rsid w:val="001C0020"/>
    <w:rsid w:val="00433235"/>
    <w:rsid w:val="008B65E6"/>
    <w:rsid w:val="008F2245"/>
    <w:rsid w:val="0092606F"/>
    <w:rsid w:val="00E06307"/>
    <w:rsid w:val="00E71EC0"/>
    <w:rsid w:val="00F2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3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483E844C5A4FA296E365F483DD2117">
    <w:name w:val="21483E844C5A4FA296E365F483DD2117"/>
    <w:rsid w:val="001A09E3"/>
    <w:pPr>
      <w:bidi/>
    </w:pPr>
  </w:style>
  <w:style w:type="paragraph" w:customStyle="1" w:styleId="A60DCACC34C842E4AB4A1C6DD92EC5FC">
    <w:name w:val="A60DCACC34C842E4AB4A1C6DD92EC5FC"/>
    <w:rsid w:val="001A09E3"/>
    <w:pPr>
      <w:bidi/>
    </w:pPr>
  </w:style>
  <w:style w:type="paragraph" w:customStyle="1" w:styleId="4E07A473284741A8B60309D723F4132A">
    <w:name w:val="4E07A473284741A8B60309D723F4132A"/>
    <w:rsid w:val="00433235"/>
    <w:pPr>
      <w:bidi/>
    </w:pPr>
  </w:style>
  <w:style w:type="character" w:styleId="Textedelespacerserv">
    <w:name w:val="Placeholder Text"/>
    <w:basedOn w:val="Policepardfaut"/>
    <w:uiPriority w:val="99"/>
    <w:semiHidden/>
    <w:rsid w:val="0043323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Génie Des Procédés                                                             1ére Année Master Génie Chimique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Génie Des Procédés                                                             1ére Année Master Génie Chimique</dc:title>
  <dc:creator>user</dc:creator>
  <cp:lastModifiedBy>user</cp:lastModifiedBy>
  <cp:revision>148</cp:revision>
  <cp:lastPrinted>2016-11-28T19:57:00Z</cp:lastPrinted>
  <dcterms:created xsi:type="dcterms:W3CDTF">2016-11-07T15:10:00Z</dcterms:created>
  <dcterms:modified xsi:type="dcterms:W3CDTF">2018-11-23T22:58:00Z</dcterms:modified>
</cp:coreProperties>
</file>