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94" w:rsidRPr="007A6237" w:rsidRDefault="00394694" w:rsidP="0039469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Université d’Oum El </w:t>
      </w:r>
      <w:proofErr w:type="spellStart"/>
      <w:r w:rsidRPr="007A6237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</w:p>
    <w:p w:rsidR="00394694" w:rsidRPr="007A6237" w:rsidRDefault="00394694" w:rsidP="0039469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Département SM</w:t>
      </w:r>
    </w:p>
    <w:p w:rsidR="00394694" w:rsidRPr="007A6237" w:rsidRDefault="00394694" w:rsidP="007A623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7A623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 Année Chimie Fondamentale</w:t>
      </w:r>
    </w:p>
    <w:p w:rsidR="00394694" w:rsidRDefault="00394694" w:rsidP="00DA5173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r w:rsidRPr="00394694">
        <w:rPr>
          <w:rFonts w:asciiTheme="majorBidi" w:hAnsiTheme="majorBidi" w:cstheme="majorBidi"/>
          <w:sz w:val="26"/>
          <w:szCs w:val="26"/>
        </w:rPr>
        <w:t>Série  de TD</w:t>
      </w:r>
      <w:r>
        <w:rPr>
          <w:rFonts w:asciiTheme="majorBidi" w:hAnsiTheme="majorBidi" w:cstheme="majorBidi"/>
          <w:sz w:val="26"/>
          <w:szCs w:val="26"/>
        </w:rPr>
        <w:t xml:space="preserve"> N°01 de</w:t>
      </w:r>
      <w:r w:rsidRPr="00394694">
        <w:rPr>
          <w:rFonts w:asciiTheme="majorBidi" w:hAnsiTheme="majorBidi" w:cstheme="majorBidi"/>
          <w:sz w:val="26"/>
          <w:szCs w:val="26"/>
        </w:rPr>
        <w:t xml:space="preserve"> Chimie Analytique II</w:t>
      </w:r>
    </w:p>
    <w:p w:rsidR="00DA5173" w:rsidRPr="00DA5173" w:rsidRDefault="00394694" w:rsidP="00DA51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A517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 :</w:t>
      </w:r>
      <w:bookmarkStart w:id="0" w:name="_GoBack"/>
      <w:bookmarkEnd w:id="0"/>
      <w:r w:rsidR="00DA5173" w:rsidRPr="00DA5173">
        <w:rPr>
          <w:rFonts w:asciiTheme="majorBidi" w:hAnsiTheme="majorBidi" w:cstheme="majorBidi"/>
          <w:sz w:val="24"/>
          <w:szCs w:val="24"/>
        </w:rPr>
        <w:t xml:space="preserve"> </w:t>
      </w:r>
    </w:p>
    <w:p w:rsidR="00DA5173" w:rsidRDefault="00DA5173" w:rsidP="00DA51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Considérer les sériés de mesures suivantes :</w:t>
      </w:r>
    </w:p>
    <w:tbl>
      <w:tblPr>
        <w:tblStyle w:val="Grilledutableau"/>
        <w:tblW w:w="0" w:type="auto"/>
        <w:tblLayout w:type="fixed"/>
        <w:tblLook w:val="04A0"/>
      </w:tblPr>
      <w:tblGrid>
        <w:gridCol w:w="868"/>
        <w:gridCol w:w="869"/>
        <w:gridCol w:w="923"/>
        <w:gridCol w:w="814"/>
        <w:gridCol w:w="868"/>
        <w:gridCol w:w="869"/>
      </w:tblGrid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</w:tr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69.94</w:t>
            </w: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0.0902</w:t>
            </w: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69.65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0.624</w:t>
            </w:r>
          </w:p>
        </w:tc>
      </w:tr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69.92</w:t>
            </w: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0.0884</w:t>
            </w: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69.63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0.613</w:t>
            </w:r>
          </w:p>
        </w:tc>
      </w:tr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69.80</w:t>
            </w: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0.0886</w:t>
            </w: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69.64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0.596</w:t>
            </w:r>
          </w:p>
        </w:tc>
      </w:tr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0.1000</w:t>
            </w: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69.21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0.607</w:t>
            </w:r>
          </w:p>
        </w:tc>
      </w:tr>
      <w:tr w:rsidR="00DA5173" w:rsidTr="00D20E13"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868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9" w:type="dxa"/>
          </w:tcPr>
          <w:p w:rsidR="00DA5173" w:rsidRDefault="00DA5173" w:rsidP="00D20E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0.582</w:t>
            </w:r>
          </w:p>
        </w:tc>
      </w:tr>
    </w:tbl>
    <w:p w:rsidR="00CF11B5" w:rsidRDefault="00DA5173" w:rsidP="00DA5173">
      <w:pPr>
        <w:pStyle w:val="Paragraphedeliste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l’intervalle de confiance à 95% de la moyenne de chaque série</w:t>
      </w:r>
      <w:r w:rsidRPr="009D61D3">
        <w:rPr>
          <w:rFonts w:asciiTheme="majorBidi" w:hAnsiTheme="majorBidi" w:cstheme="majorBidi"/>
          <w:sz w:val="24"/>
          <w:szCs w:val="24"/>
        </w:rPr>
        <w:t xml:space="preserve"> de mesure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A5173" w:rsidRPr="00DA5173" w:rsidRDefault="00DA5173" w:rsidP="00DA5173">
      <w:pPr>
        <w:pStyle w:val="Paragraphedeliste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A517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02</w:t>
      </w:r>
    </w:p>
    <w:p w:rsidR="00654FE3" w:rsidRDefault="00654FE3" w:rsidP="00654FE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résultats d’un dosage répété 5 fois sont les suivants : 24,24 ; 24,36 ; 24,8 ; 24,20 ; 24,10. Vérifier si la troisième valeur, qui semble trop élevée, mérite d’être considérée comme une valeur aberrante.</w:t>
      </w:r>
    </w:p>
    <w:p w:rsidR="00654FE3" w:rsidRPr="00654FE3" w:rsidRDefault="00654FE3" w:rsidP="00654FE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procède à deux mesures complémentaires qui sont de 24,24 et 24,25. Revoir la question précédente et conclure en s’appuyant sur le calcul des écart-types.  </w:t>
      </w:r>
    </w:p>
    <w:p w:rsidR="00654FE3" w:rsidRPr="00DA5173" w:rsidRDefault="00DA5173" w:rsidP="00DA517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03</w:t>
      </w:r>
      <w:r w:rsidR="00654FE3" w:rsidRPr="00DA51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:rsidR="00F910B9" w:rsidRDefault="00F910B9" w:rsidP="00DA517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Avec la même colonne dont la phase stationnaire est du </w:t>
      </w:r>
      <w:proofErr w:type="spellStart"/>
      <w:r>
        <w:rPr>
          <w:rFonts w:asciiTheme="majorBidi" w:hAnsiTheme="majorBidi" w:cstheme="majorBidi"/>
          <w:sz w:val="24"/>
          <w:szCs w:val="24"/>
        </w:rPr>
        <w:t>squalane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et dans des conditions différentes d’utilisation, on détermine l’indice de </w:t>
      </w:r>
      <w:proofErr w:type="spellStart"/>
      <w:r>
        <w:rPr>
          <w:rFonts w:asciiTheme="majorBidi" w:hAnsiTheme="majorBidi" w:cstheme="majorBidi"/>
          <w:sz w:val="24"/>
          <w:szCs w:val="24"/>
        </w:rPr>
        <w:t>Kovats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 benzène (valeur reconnue moyenne 653). On trouve les valeurs suivantes : 650, 652, 648, 651 et 649.</w:t>
      </w:r>
    </w:p>
    <w:p w:rsidR="00F910B9" w:rsidRDefault="00F910B9" w:rsidP="003271D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valeur de 653 est-elle significativement différente de l’ensemble des valeurs calculées ? (On se fixera un niveau de confiance de 95%).</w:t>
      </w:r>
    </w:p>
    <w:p w:rsidR="00F910B9" w:rsidRPr="00DA5173" w:rsidRDefault="00DA5173" w:rsidP="00DA517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04</w:t>
      </w:r>
      <w:r w:rsidR="00F910B9" w:rsidRPr="00DA51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:rsidR="00394694" w:rsidRPr="003271D1" w:rsidRDefault="00394694" w:rsidP="00DA517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271D1">
        <w:rPr>
          <w:rFonts w:asciiTheme="majorBidi" w:hAnsiTheme="majorBidi" w:cstheme="majorBidi"/>
          <w:sz w:val="24"/>
          <w:szCs w:val="24"/>
        </w:rPr>
        <w:t>La valeur vraie d’</w:t>
      </w:r>
      <w:r w:rsidR="00F910B9">
        <w:rPr>
          <w:rFonts w:asciiTheme="majorBidi" w:hAnsiTheme="majorBidi" w:cstheme="majorBidi"/>
          <w:sz w:val="24"/>
          <w:szCs w:val="24"/>
        </w:rPr>
        <w:t>un dosage est de 131,</w:t>
      </w:r>
      <w:r w:rsidRPr="003271D1">
        <w:rPr>
          <w:rFonts w:asciiTheme="majorBidi" w:hAnsiTheme="majorBidi" w:cstheme="majorBidi"/>
          <w:sz w:val="24"/>
          <w:szCs w:val="24"/>
        </w:rPr>
        <w:t>9 μg.L-1</w:t>
      </w:r>
      <w:r w:rsidR="00353C9E" w:rsidRPr="003271D1">
        <w:rPr>
          <w:rFonts w:asciiTheme="majorBidi" w:hAnsiTheme="majorBidi" w:cstheme="majorBidi"/>
          <w:sz w:val="24"/>
          <w:szCs w:val="24"/>
        </w:rPr>
        <w:t xml:space="preserve">. </w:t>
      </w:r>
      <w:r w:rsidR="003271D1" w:rsidRPr="003271D1">
        <w:rPr>
          <w:rFonts w:asciiTheme="majorBidi" w:hAnsiTheme="majorBidi" w:cstheme="majorBidi"/>
          <w:sz w:val="24"/>
          <w:szCs w:val="24"/>
        </w:rPr>
        <w:t>Quatre</w:t>
      </w:r>
      <w:r w:rsidR="00353C9E" w:rsidRPr="003271D1">
        <w:rPr>
          <w:rFonts w:asciiTheme="majorBidi" w:hAnsiTheme="majorBidi" w:cstheme="majorBidi"/>
          <w:sz w:val="24"/>
          <w:szCs w:val="24"/>
        </w:rPr>
        <w:t xml:space="preserve"> chimistes </w:t>
      </w:r>
      <w:r w:rsidR="003271D1" w:rsidRPr="003271D1">
        <w:rPr>
          <w:rFonts w:asciiTheme="majorBidi" w:hAnsiTheme="majorBidi" w:cstheme="majorBidi"/>
          <w:sz w:val="24"/>
          <w:szCs w:val="24"/>
        </w:rPr>
        <w:t>répètent</w:t>
      </w:r>
      <w:r w:rsidR="00353C9E" w:rsidRPr="003271D1">
        <w:rPr>
          <w:rFonts w:asciiTheme="majorBidi" w:hAnsiTheme="majorBidi" w:cstheme="majorBidi"/>
          <w:sz w:val="24"/>
          <w:szCs w:val="24"/>
        </w:rPr>
        <w:t xml:space="preserve"> chacun 6 fois le dosage. Ils trouvent les valeurs individuelles suivantes :</w:t>
      </w:r>
    </w:p>
    <w:tbl>
      <w:tblPr>
        <w:tblStyle w:val="Grilledutableau"/>
        <w:tblW w:w="0" w:type="auto"/>
        <w:tblLook w:val="0600"/>
      </w:tblPr>
      <w:tblGrid>
        <w:gridCol w:w="1728"/>
        <w:gridCol w:w="1260"/>
        <w:gridCol w:w="1260"/>
        <w:gridCol w:w="1260"/>
        <w:gridCol w:w="1260"/>
        <w:gridCol w:w="1260"/>
        <w:gridCol w:w="1260"/>
      </w:tblGrid>
      <w:tr w:rsidR="00353C9E" w:rsidRPr="003271D1" w:rsidTr="003271D1">
        <w:tc>
          <w:tcPr>
            <w:tcW w:w="1728" w:type="dxa"/>
          </w:tcPr>
          <w:p w:rsidR="00353C9E" w:rsidRPr="003271D1" w:rsidRDefault="00353C9E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71D1">
              <w:rPr>
                <w:rFonts w:asciiTheme="majorBidi" w:hAnsiTheme="majorBidi" w:cstheme="majorBidi"/>
                <w:sz w:val="24"/>
                <w:szCs w:val="24"/>
              </w:rPr>
              <w:t>Chimiste A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53C9E" w:rsidRPr="003271D1" w:rsidTr="003271D1">
        <w:tc>
          <w:tcPr>
            <w:tcW w:w="1728" w:type="dxa"/>
          </w:tcPr>
          <w:p w:rsidR="00353C9E" w:rsidRPr="003271D1" w:rsidRDefault="00353C9E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71D1">
              <w:rPr>
                <w:rFonts w:asciiTheme="majorBidi" w:hAnsiTheme="majorBidi" w:cstheme="majorBidi"/>
                <w:sz w:val="24"/>
                <w:szCs w:val="24"/>
              </w:rPr>
              <w:t>Chimiste B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353C9E" w:rsidRPr="003271D1" w:rsidTr="003271D1">
        <w:tc>
          <w:tcPr>
            <w:tcW w:w="1728" w:type="dxa"/>
          </w:tcPr>
          <w:p w:rsidR="00353C9E" w:rsidRPr="003271D1" w:rsidRDefault="00353C9E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71D1">
              <w:rPr>
                <w:rFonts w:asciiTheme="majorBidi" w:hAnsiTheme="majorBidi" w:cstheme="majorBidi"/>
                <w:sz w:val="24"/>
                <w:szCs w:val="24"/>
              </w:rPr>
              <w:t>Chimiste C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53C9E" w:rsidRPr="003271D1" w:rsidTr="003271D1">
        <w:tc>
          <w:tcPr>
            <w:tcW w:w="1728" w:type="dxa"/>
          </w:tcPr>
          <w:p w:rsidR="00353C9E" w:rsidRPr="003271D1" w:rsidRDefault="00353C9E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71D1">
              <w:rPr>
                <w:rFonts w:asciiTheme="majorBidi" w:hAnsiTheme="majorBidi" w:cstheme="majorBidi"/>
                <w:sz w:val="24"/>
                <w:szCs w:val="24"/>
              </w:rPr>
              <w:t>Chimiste D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53C9E" w:rsidRPr="003271D1" w:rsidRDefault="00654FE3" w:rsidP="003271D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132,</w:t>
            </w:r>
            <w:r w:rsidR="00353C9E" w:rsidRPr="003271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</w:tbl>
    <w:p w:rsidR="00353C9E" w:rsidRPr="003271D1" w:rsidRDefault="00353C9E" w:rsidP="003271D1">
      <w:pPr>
        <w:pStyle w:val="Paragraphedeliste"/>
        <w:numPr>
          <w:ilvl w:val="0"/>
          <w:numId w:val="1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3271D1">
        <w:rPr>
          <w:rFonts w:asciiTheme="majorBidi" w:hAnsiTheme="majorBidi" w:cstheme="majorBidi"/>
          <w:sz w:val="24"/>
          <w:szCs w:val="24"/>
        </w:rPr>
        <w:t xml:space="preserve">Commentez les </w:t>
      </w:r>
      <w:r w:rsidR="003271D1" w:rsidRPr="003271D1">
        <w:rPr>
          <w:rFonts w:asciiTheme="majorBidi" w:hAnsiTheme="majorBidi" w:cstheme="majorBidi"/>
          <w:sz w:val="24"/>
          <w:szCs w:val="24"/>
        </w:rPr>
        <w:t>résultats</w:t>
      </w:r>
      <w:r w:rsidRPr="003271D1">
        <w:rPr>
          <w:rFonts w:asciiTheme="majorBidi" w:hAnsiTheme="majorBidi" w:cstheme="majorBidi"/>
          <w:sz w:val="24"/>
          <w:szCs w:val="24"/>
        </w:rPr>
        <w:t xml:space="preserve"> en </w:t>
      </w:r>
      <w:r w:rsidR="00E01218" w:rsidRPr="003271D1">
        <w:rPr>
          <w:rFonts w:asciiTheme="majorBidi" w:hAnsiTheme="majorBidi" w:cstheme="majorBidi"/>
          <w:sz w:val="24"/>
          <w:szCs w:val="24"/>
        </w:rPr>
        <w:t>termes</w:t>
      </w:r>
      <w:r w:rsidRPr="003271D1">
        <w:rPr>
          <w:rFonts w:asciiTheme="majorBidi" w:hAnsiTheme="majorBidi" w:cstheme="majorBidi"/>
          <w:sz w:val="24"/>
          <w:szCs w:val="24"/>
        </w:rPr>
        <w:t xml:space="preserve"> de justesse et de </w:t>
      </w:r>
      <w:r w:rsidR="003271D1" w:rsidRPr="003271D1">
        <w:rPr>
          <w:rFonts w:asciiTheme="majorBidi" w:hAnsiTheme="majorBidi" w:cstheme="majorBidi"/>
          <w:sz w:val="24"/>
          <w:szCs w:val="24"/>
        </w:rPr>
        <w:t>précision</w:t>
      </w:r>
      <w:r w:rsidRPr="003271D1">
        <w:rPr>
          <w:rFonts w:asciiTheme="majorBidi" w:hAnsiTheme="majorBidi" w:cstheme="majorBidi"/>
          <w:sz w:val="24"/>
          <w:szCs w:val="24"/>
        </w:rPr>
        <w:t xml:space="preserve"> (utiliser l’indicateur de </w:t>
      </w:r>
      <w:r w:rsidR="003271D1" w:rsidRPr="003271D1">
        <w:rPr>
          <w:rFonts w:asciiTheme="majorBidi" w:hAnsiTheme="majorBidi" w:cstheme="majorBidi"/>
          <w:sz w:val="24"/>
          <w:szCs w:val="24"/>
        </w:rPr>
        <w:t>dispersion</w:t>
      </w:r>
      <w:r w:rsidRPr="003271D1">
        <w:rPr>
          <w:rFonts w:asciiTheme="majorBidi" w:hAnsiTheme="majorBidi" w:cstheme="majorBidi"/>
          <w:sz w:val="24"/>
          <w:szCs w:val="24"/>
        </w:rPr>
        <w:t xml:space="preserve"> ou l’</w:t>
      </w:r>
      <w:r w:rsidR="003271D1" w:rsidRPr="003271D1">
        <w:rPr>
          <w:rFonts w:asciiTheme="majorBidi" w:hAnsiTheme="majorBidi" w:cstheme="majorBidi"/>
          <w:sz w:val="24"/>
          <w:szCs w:val="24"/>
        </w:rPr>
        <w:t>écart</w:t>
      </w:r>
      <w:r w:rsidRPr="003271D1">
        <w:rPr>
          <w:rFonts w:asciiTheme="majorBidi" w:hAnsiTheme="majorBidi" w:cstheme="majorBidi"/>
          <w:sz w:val="24"/>
          <w:szCs w:val="24"/>
        </w:rPr>
        <w:t>-type).</w:t>
      </w:r>
    </w:p>
    <w:p w:rsidR="003271D1" w:rsidRDefault="00353C9E" w:rsidP="003271D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271D1">
        <w:rPr>
          <w:rFonts w:asciiTheme="majorBidi" w:hAnsiTheme="majorBidi" w:cstheme="majorBidi"/>
          <w:sz w:val="24"/>
          <w:szCs w:val="24"/>
        </w:rPr>
        <w:t xml:space="preserve">On suppose que les deux chimistes A et B ont utilisé deux appareils distinctes. Appliquez le test d’égalité de variance (F) afin d’indiquer si les </w:t>
      </w:r>
      <w:r w:rsidR="003271D1" w:rsidRPr="003271D1">
        <w:rPr>
          <w:rFonts w:asciiTheme="majorBidi" w:hAnsiTheme="majorBidi" w:cstheme="majorBidi"/>
          <w:sz w:val="24"/>
          <w:szCs w:val="24"/>
        </w:rPr>
        <w:t>précisions</w:t>
      </w:r>
      <w:r w:rsidRPr="003271D1">
        <w:rPr>
          <w:rFonts w:asciiTheme="majorBidi" w:hAnsiTheme="majorBidi" w:cstheme="majorBidi"/>
          <w:sz w:val="24"/>
          <w:szCs w:val="24"/>
        </w:rPr>
        <w:t xml:space="preserve"> des appareils sont significativement </w:t>
      </w:r>
      <w:r w:rsidR="003271D1" w:rsidRPr="003271D1">
        <w:rPr>
          <w:rFonts w:asciiTheme="majorBidi" w:hAnsiTheme="majorBidi" w:cstheme="majorBidi"/>
          <w:sz w:val="24"/>
          <w:szCs w:val="24"/>
        </w:rPr>
        <w:t>différentes</w:t>
      </w:r>
      <w:r w:rsidRPr="003271D1">
        <w:rPr>
          <w:rFonts w:asciiTheme="majorBidi" w:hAnsiTheme="majorBidi" w:cstheme="majorBidi"/>
          <w:sz w:val="24"/>
          <w:szCs w:val="24"/>
        </w:rPr>
        <w:t>.</w:t>
      </w:r>
    </w:p>
    <w:p w:rsidR="009D61D3" w:rsidRPr="00E01218" w:rsidRDefault="009D61D3" w:rsidP="00E01218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61D3">
        <w:rPr>
          <w:rFonts w:asciiTheme="majorBidi" w:hAnsiTheme="majorBidi" w:cstheme="majorBidi"/>
          <w:sz w:val="24"/>
          <w:szCs w:val="24"/>
        </w:rPr>
        <w:t xml:space="preserve">Peut-on conclure s’il y a présence d’une erreur systématique pour A ou pour C ? </w:t>
      </w:r>
    </w:p>
    <w:p w:rsidR="00353C9E" w:rsidRPr="00DA5173" w:rsidRDefault="00DA5173" w:rsidP="00DA51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05</w:t>
      </w:r>
      <w:r w:rsidR="003271D1" w:rsidRPr="00DA517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9D61D3" w:rsidRPr="00F910B9" w:rsidRDefault="00762B04" w:rsidP="00DA51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composé est accompagné d’un certificat d’analyse indiquant que sa pureté est de 99% avec s = 0.09 établi sur 5 mesures. Un dosage de contrôle répété 4 fois sur ce composé conduit aux valeurs suivantes : 98,58 ; 98,91 ; 98,62 et 98,80. La valeur d’origine est-elle à rejeter?</w:t>
      </w:r>
    </w:p>
    <w:sectPr w:rsidR="009D61D3" w:rsidRPr="00F910B9" w:rsidSect="00DA517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A11"/>
    <w:multiLevelType w:val="hybridMultilevel"/>
    <w:tmpl w:val="2F343D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7CB"/>
    <w:multiLevelType w:val="hybridMultilevel"/>
    <w:tmpl w:val="CC7C28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E0AF8"/>
    <w:multiLevelType w:val="hybridMultilevel"/>
    <w:tmpl w:val="1C0415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0FFA"/>
    <w:rsid w:val="000A604E"/>
    <w:rsid w:val="000D6D29"/>
    <w:rsid w:val="00293338"/>
    <w:rsid w:val="003271D1"/>
    <w:rsid w:val="00353C9E"/>
    <w:rsid w:val="00394694"/>
    <w:rsid w:val="0040616C"/>
    <w:rsid w:val="00654FE3"/>
    <w:rsid w:val="00680FFA"/>
    <w:rsid w:val="00762B04"/>
    <w:rsid w:val="007A6237"/>
    <w:rsid w:val="009D61D3"/>
    <w:rsid w:val="00A544E6"/>
    <w:rsid w:val="00C062D9"/>
    <w:rsid w:val="00CF11B5"/>
    <w:rsid w:val="00DA5173"/>
    <w:rsid w:val="00E01218"/>
    <w:rsid w:val="00F9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3C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</dc:creator>
  <cp:lastModifiedBy>Rafika</cp:lastModifiedBy>
  <cp:revision>9</cp:revision>
  <cp:lastPrinted>2016-10-09T13:41:00Z</cp:lastPrinted>
  <dcterms:created xsi:type="dcterms:W3CDTF">2016-10-07T16:29:00Z</dcterms:created>
  <dcterms:modified xsi:type="dcterms:W3CDTF">2018-10-15T19:15:00Z</dcterms:modified>
</cp:coreProperties>
</file>