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7D" w:rsidRPr="000F7A1E" w:rsidRDefault="00FC347D" w:rsidP="00FC347D">
      <w:pPr>
        <w:pStyle w:val="Titre1"/>
        <w:jc w:val="left"/>
        <w:rPr>
          <w:rFonts w:asciiTheme="majorBidi" w:eastAsiaTheme="minorHAnsi" w:hAnsiTheme="majorBidi" w:cstheme="majorBidi"/>
          <w:b/>
          <w:bCs/>
          <w:kern w:val="0"/>
          <w:sz w:val="32"/>
          <w:szCs w:val="32"/>
          <w:rtl/>
          <w:lang w:val="fr-FR" w:eastAsia="en-US"/>
        </w:rPr>
      </w:pPr>
      <w:r w:rsidRPr="000F7A1E">
        <w:rPr>
          <w:rFonts w:asciiTheme="majorBidi" w:eastAsiaTheme="minorHAnsi" w:hAnsiTheme="majorBidi" w:cstheme="majorBidi"/>
          <w:b/>
          <w:bCs/>
          <w:kern w:val="0"/>
          <w:sz w:val="32"/>
          <w:szCs w:val="32"/>
          <w:rtl/>
          <w:lang w:val="fr-FR" w:eastAsia="en-US"/>
        </w:rPr>
        <w:t>المحاضرة 10:</w:t>
      </w:r>
    </w:p>
    <w:p w:rsidR="00FC347D" w:rsidRDefault="0093594B" w:rsidP="0093594B">
      <w:pPr>
        <w:pStyle w:val="Titre1"/>
        <w:numPr>
          <w:ilvl w:val="0"/>
          <w:numId w:val="3"/>
        </w:numPr>
        <w:jc w:val="left"/>
        <w:rPr>
          <w:rFonts w:asciiTheme="majorBidi" w:hAnsiTheme="majorBidi" w:cstheme="majorBidi"/>
          <w:b/>
          <w:bCs/>
          <w:sz w:val="32"/>
          <w:szCs w:val="32"/>
          <w:rtl/>
        </w:rPr>
      </w:pPr>
      <w:r>
        <w:rPr>
          <w:rFonts w:asciiTheme="majorBidi" w:hAnsiTheme="majorBidi" w:cstheme="majorBidi" w:hint="cs"/>
          <w:b/>
          <w:bCs/>
          <w:sz w:val="32"/>
          <w:szCs w:val="32"/>
          <w:rtl/>
        </w:rPr>
        <w:t>عنوان الدرس :</w:t>
      </w:r>
      <w:r w:rsidR="00FC347D" w:rsidRPr="000F7A1E">
        <w:rPr>
          <w:rFonts w:asciiTheme="majorBidi" w:hAnsiTheme="majorBidi" w:cstheme="majorBidi"/>
          <w:b/>
          <w:bCs/>
          <w:sz w:val="32"/>
          <w:szCs w:val="32"/>
          <w:rtl/>
        </w:rPr>
        <w:t xml:space="preserve">معاجم المعاني و نظرية الحقول الدلالية. </w:t>
      </w:r>
    </w:p>
    <w:p w:rsidR="0093594B" w:rsidRPr="0093594B" w:rsidRDefault="0093594B" w:rsidP="0093594B">
      <w:pPr>
        <w:pStyle w:val="Paragraphedeliste"/>
        <w:numPr>
          <w:ilvl w:val="0"/>
          <w:numId w:val="3"/>
        </w:numPr>
        <w:bidi/>
        <w:rPr>
          <w:rFonts w:asciiTheme="majorBidi" w:hAnsiTheme="majorBidi" w:cstheme="majorBidi"/>
          <w:b/>
          <w:bCs/>
          <w:sz w:val="32"/>
          <w:szCs w:val="32"/>
          <w:rtl/>
        </w:rPr>
      </w:pPr>
      <w:r w:rsidRPr="0093594B">
        <w:rPr>
          <w:rFonts w:asciiTheme="majorBidi" w:hAnsiTheme="majorBidi" w:cstheme="majorBidi" w:hint="cs"/>
          <w:b/>
          <w:bCs/>
          <w:sz w:val="32"/>
          <w:szCs w:val="32"/>
          <w:rtl/>
        </w:rPr>
        <w:t>أهداف الدرس:</w:t>
      </w:r>
    </w:p>
    <w:p w:rsidR="0093594B" w:rsidRPr="00C33B23" w:rsidRDefault="0093594B" w:rsidP="00C33B23">
      <w:pPr>
        <w:pStyle w:val="Paragraphedeliste"/>
        <w:numPr>
          <w:ilvl w:val="0"/>
          <w:numId w:val="5"/>
        </w:numPr>
        <w:bidi/>
        <w:rPr>
          <w:rFonts w:asciiTheme="majorBidi" w:hAnsiTheme="majorBidi" w:cstheme="majorBidi"/>
          <w:b/>
          <w:bCs/>
          <w:sz w:val="32"/>
          <w:szCs w:val="32"/>
          <w:rtl/>
        </w:rPr>
      </w:pPr>
      <w:r w:rsidRPr="00C33B23">
        <w:rPr>
          <w:rFonts w:asciiTheme="majorBidi" w:hAnsiTheme="majorBidi" w:cstheme="majorBidi" w:hint="cs"/>
          <w:b/>
          <w:bCs/>
          <w:sz w:val="32"/>
          <w:szCs w:val="32"/>
          <w:rtl/>
        </w:rPr>
        <w:t xml:space="preserve">معرفة نظرية الحقول الدلالية </w:t>
      </w:r>
    </w:p>
    <w:p w:rsidR="0093594B" w:rsidRPr="0093594B" w:rsidRDefault="0093594B" w:rsidP="0093594B">
      <w:pPr>
        <w:pStyle w:val="Paragraphedeliste"/>
        <w:numPr>
          <w:ilvl w:val="0"/>
          <w:numId w:val="5"/>
        </w:numPr>
        <w:bidi/>
        <w:rPr>
          <w:rFonts w:asciiTheme="majorBidi" w:hAnsiTheme="majorBidi" w:cstheme="majorBidi"/>
          <w:b/>
          <w:bCs/>
          <w:sz w:val="32"/>
          <w:szCs w:val="32"/>
          <w:rtl/>
        </w:rPr>
      </w:pPr>
      <w:r w:rsidRPr="0093594B">
        <w:rPr>
          <w:rFonts w:asciiTheme="majorBidi" w:hAnsiTheme="majorBidi" w:cstheme="majorBidi" w:hint="cs"/>
          <w:b/>
          <w:bCs/>
          <w:sz w:val="32"/>
          <w:szCs w:val="32"/>
          <w:rtl/>
        </w:rPr>
        <w:t>علاقة معاجم المعاني بالحقول الدلالية</w:t>
      </w:r>
    </w:p>
    <w:p w:rsidR="0093594B" w:rsidRPr="0093594B" w:rsidRDefault="0093594B" w:rsidP="0093594B">
      <w:pPr>
        <w:pStyle w:val="Paragraphedeliste"/>
        <w:numPr>
          <w:ilvl w:val="0"/>
          <w:numId w:val="4"/>
        </w:numPr>
        <w:bidi/>
        <w:rPr>
          <w:rFonts w:asciiTheme="majorBidi" w:hAnsiTheme="majorBidi" w:cstheme="majorBidi"/>
          <w:b/>
          <w:bCs/>
          <w:sz w:val="32"/>
          <w:szCs w:val="32"/>
          <w:rtl/>
        </w:rPr>
      </w:pPr>
      <w:r w:rsidRPr="0093594B">
        <w:rPr>
          <w:rFonts w:asciiTheme="majorBidi" w:hAnsiTheme="majorBidi" w:cstheme="majorBidi" w:hint="cs"/>
          <w:b/>
          <w:bCs/>
          <w:sz w:val="32"/>
          <w:szCs w:val="32"/>
          <w:rtl/>
        </w:rPr>
        <w:t>مراحل الدرس :</w:t>
      </w:r>
    </w:p>
    <w:p w:rsidR="0093594B" w:rsidRDefault="0093594B" w:rsidP="0093594B">
      <w:pPr>
        <w:pStyle w:val="Paragraphedeliste"/>
        <w:numPr>
          <w:ilvl w:val="0"/>
          <w:numId w:val="5"/>
        </w:numPr>
        <w:bidi/>
        <w:rPr>
          <w:rFonts w:asciiTheme="majorBidi" w:hAnsiTheme="majorBidi" w:cstheme="majorBidi"/>
          <w:b/>
          <w:bCs/>
          <w:sz w:val="32"/>
          <w:szCs w:val="32"/>
        </w:rPr>
      </w:pPr>
      <w:r w:rsidRPr="0093594B">
        <w:rPr>
          <w:rFonts w:asciiTheme="majorBidi" w:hAnsiTheme="majorBidi" w:cstheme="majorBidi" w:hint="cs"/>
          <w:b/>
          <w:bCs/>
          <w:sz w:val="32"/>
          <w:szCs w:val="32"/>
          <w:rtl/>
        </w:rPr>
        <w:t>تمهيد حول نظرية الحقول الدلالية</w:t>
      </w:r>
    </w:p>
    <w:p w:rsidR="0093594B" w:rsidRPr="0093594B" w:rsidRDefault="0093594B" w:rsidP="0093594B">
      <w:pPr>
        <w:pStyle w:val="Paragraphedeliste"/>
        <w:numPr>
          <w:ilvl w:val="0"/>
          <w:numId w:val="5"/>
        </w:numPr>
        <w:autoSpaceDE w:val="0"/>
        <w:autoSpaceDN w:val="0"/>
        <w:bidi/>
        <w:adjustRightInd w:val="0"/>
        <w:spacing w:after="0" w:line="240" w:lineRule="auto"/>
        <w:rPr>
          <w:rFonts w:ascii="SimplifiedArabic-Bold-Identity-" w:cs="SimplifiedArabic-Bold-Identity-"/>
          <w:b/>
          <w:bCs/>
          <w:sz w:val="32"/>
          <w:szCs w:val="32"/>
        </w:rPr>
      </w:pPr>
      <w:r w:rsidRPr="0093594B">
        <w:rPr>
          <w:rFonts w:ascii="SimplifiedArabic-Bold-Identity-" w:cs="SimplifiedArabic-Bold-Identity-" w:hint="cs"/>
          <w:b/>
          <w:bCs/>
          <w:sz w:val="32"/>
          <w:szCs w:val="32"/>
          <w:rtl/>
        </w:rPr>
        <w:t>ظهور</w:t>
      </w:r>
      <w:r w:rsidRPr="0093594B">
        <w:rPr>
          <w:rFonts w:ascii="SimplifiedArabic-Bold-Identity-" w:cs="SimplifiedArabic-Bold-Identity-"/>
          <w:b/>
          <w:bCs/>
          <w:sz w:val="32"/>
          <w:szCs w:val="32"/>
        </w:rPr>
        <w:t xml:space="preserve"> </w:t>
      </w:r>
      <w:r w:rsidRPr="0093594B">
        <w:rPr>
          <w:rFonts w:ascii="SimplifiedArabic-Bold-Identity-" w:cs="SimplifiedArabic-Bold-Identity-" w:hint="cs"/>
          <w:b/>
          <w:bCs/>
          <w:sz w:val="32"/>
          <w:szCs w:val="32"/>
          <w:rtl/>
        </w:rPr>
        <w:t>مصطلح</w:t>
      </w:r>
      <w:r w:rsidRPr="0093594B">
        <w:rPr>
          <w:rFonts w:ascii="SimplifiedArabic-Bold-Identity-" w:cs="SimplifiedArabic-Bold-Identity-"/>
          <w:b/>
          <w:bCs/>
          <w:sz w:val="32"/>
          <w:szCs w:val="32"/>
        </w:rPr>
        <w:t xml:space="preserve"> "</w:t>
      </w:r>
      <w:r w:rsidRPr="0093594B">
        <w:rPr>
          <w:rFonts w:ascii="SimplifiedArabic-Bold-Identity-" w:cs="SimplifiedArabic-Bold-Identity-" w:hint="cs"/>
          <w:b/>
          <w:bCs/>
          <w:sz w:val="32"/>
          <w:szCs w:val="32"/>
          <w:rtl/>
        </w:rPr>
        <w:t>معجم</w:t>
      </w:r>
      <w:r w:rsidRPr="0093594B">
        <w:rPr>
          <w:rFonts w:ascii="SimplifiedArabic-Bold-Identity-" w:cs="SimplifiedArabic-Bold-Identity-"/>
          <w:b/>
          <w:bCs/>
          <w:sz w:val="32"/>
          <w:szCs w:val="32"/>
        </w:rPr>
        <w:t>":</w:t>
      </w:r>
    </w:p>
    <w:p w:rsidR="0093594B" w:rsidRDefault="0093594B" w:rsidP="0093594B">
      <w:pPr>
        <w:pStyle w:val="Paragraphedeliste"/>
        <w:numPr>
          <w:ilvl w:val="0"/>
          <w:numId w:val="5"/>
        </w:numPr>
        <w:bidi/>
        <w:rPr>
          <w:rFonts w:asciiTheme="majorBidi" w:hAnsiTheme="majorBidi" w:cstheme="majorBidi" w:hint="cs"/>
          <w:b/>
          <w:bCs/>
          <w:sz w:val="32"/>
          <w:szCs w:val="32"/>
        </w:rPr>
      </w:pPr>
      <w:r>
        <w:rPr>
          <w:rFonts w:asciiTheme="majorBidi" w:hAnsiTheme="majorBidi" w:cstheme="majorBidi" w:hint="cs"/>
          <w:b/>
          <w:bCs/>
          <w:sz w:val="32"/>
          <w:szCs w:val="32"/>
          <w:rtl/>
        </w:rPr>
        <w:t>الحقول الدلالية</w:t>
      </w:r>
      <w:r w:rsidRPr="0093594B">
        <w:rPr>
          <w:rFonts w:asciiTheme="majorBidi" w:hAnsiTheme="majorBidi" w:cstheme="majorBidi" w:hint="cs"/>
          <w:b/>
          <w:bCs/>
          <w:sz w:val="32"/>
          <w:szCs w:val="32"/>
          <w:rtl/>
        </w:rPr>
        <w:t xml:space="preserve"> </w:t>
      </w:r>
    </w:p>
    <w:p w:rsidR="00C33B23" w:rsidRPr="0093594B" w:rsidRDefault="00C33B23" w:rsidP="00C33B23">
      <w:pPr>
        <w:pStyle w:val="Paragraphedeliste"/>
        <w:numPr>
          <w:ilvl w:val="0"/>
          <w:numId w:val="5"/>
        </w:numPr>
        <w:bidi/>
        <w:rPr>
          <w:rFonts w:asciiTheme="majorBidi" w:hAnsiTheme="majorBidi" w:cstheme="majorBidi"/>
          <w:b/>
          <w:bCs/>
          <w:sz w:val="32"/>
          <w:szCs w:val="32"/>
          <w:rtl/>
        </w:rPr>
      </w:pPr>
      <w:r w:rsidRPr="00C33B23">
        <w:rPr>
          <w:rFonts w:cs="Simplified Arabic" w:hint="cs"/>
          <w:b/>
          <w:bCs/>
          <w:sz w:val="36"/>
          <w:szCs w:val="36"/>
          <w:rtl/>
          <w:lang w:eastAsia="ar-SA"/>
        </w:rPr>
        <w:t>عناصر الكلام وتصنيفاتها النحوية.</w:t>
      </w:r>
    </w:p>
    <w:p w:rsidR="00FC347D" w:rsidRPr="000E178E" w:rsidRDefault="00FC347D" w:rsidP="000E178E">
      <w:pPr>
        <w:bidi/>
        <w:spacing w:before="60" w:after="20"/>
        <w:ind w:firstLine="425"/>
        <w:jc w:val="both"/>
        <w:rPr>
          <w:rFonts w:asciiTheme="majorBidi" w:hAnsiTheme="majorBidi" w:cstheme="majorBidi"/>
          <w:sz w:val="32"/>
          <w:szCs w:val="32"/>
          <w:rtl/>
        </w:rPr>
      </w:pPr>
      <w:r w:rsidRPr="000E178E">
        <w:rPr>
          <w:rFonts w:asciiTheme="majorBidi" w:hAnsiTheme="majorBidi" w:cstheme="majorBidi"/>
          <w:sz w:val="32"/>
          <w:szCs w:val="32"/>
          <w:rtl/>
        </w:rPr>
        <w:t>يفرض التواصل بين الأفراد وجود قائمة من الكلمات مشتركة بينهم يفهمون معانيها بكيفية متشابهة أو متقاربة، ولكن دلالات الكلمات المعنوية يصعب عليهم الاتفاق  حول تحديدها، لأنَّ درجة فهمها تتفاوت من شخص لآخر، تبعاً للتجربة التي مرّ بها كلّ فرد، وطبيعة البيئة التي ينتمي إليها المتكلّمون باللغة، ومستوى التعلّم، وغيرها من العوامل التي تسهم في تحديد الدلالة.</w:t>
      </w:r>
    </w:p>
    <w:p w:rsidR="00FC347D" w:rsidRPr="000E178E" w:rsidRDefault="00FC347D" w:rsidP="000E178E">
      <w:pPr>
        <w:bidi/>
        <w:spacing w:before="60" w:after="20"/>
        <w:ind w:firstLine="425"/>
        <w:jc w:val="both"/>
        <w:rPr>
          <w:rFonts w:asciiTheme="majorBidi" w:hAnsiTheme="majorBidi" w:cstheme="majorBidi"/>
          <w:sz w:val="32"/>
          <w:szCs w:val="32"/>
          <w:rtl/>
        </w:rPr>
      </w:pPr>
      <w:r w:rsidRPr="000E178E">
        <w:rPr>
          <w:rFonts w:asciiTheme="majorBidi" w:hAnsiTheme="majorBidi" w:cstheme="majorBidi"/>
          <w:sz w:val="32"/>
          <w:szCs w:val="32"/>
          <w:rtl/>
        </w:rPr>
        <w:t>ويكون فهم الكلمات متماثلاً أو متشابهاً حينما يكون اتفاق ضمني حول توظيفها واستخدامها، ومن هنا كان تعريف الكلمة الذي يعدّ تحقيقاً لهذا الاتفاق أمراً مهماً في استعمال المعاجم(</w:t>
      </w:r>
      <w:r w:rsidRPr="000E178E">
        <w:rPr>
          <w:rStyle w:val="Appelnotedebasdep"/>
          <w:rFonts w:asciiTheme="majorBidi" w:hAnsiTheme="majorBidi" w:cstheme="majorBidi"/>
          <w:sz w:val="32"/>
          <w:szCs w:val="32"/>
          <w:rtl/>
        </w:rPr>
        <w:footnoteReference w:id="2"/>
      </w:r>
      <w:r w:rsidRPr="000E178E">
        <w:rPr>
          <w:rFonts w:asciiTheme="majorBidi" w:hAnsiTheme="majorBidi" w:cstheme="majorBidi"/>
          <w:sz w:val="32"/>
          <w:szCs w:val="32"/>
          <w:rtl/>
        </w:rPr>
        <w:t>).</w:t>
      </w:r>
    </w:p>
    <w:p w:rsidR="00FC347D" w:rsidRPr="000E178E" w:rsidRDefault="00FC347D" w:rsidP="000E178E">
      <w:pPr>
        <w:bidi/>
        <w:spacing w:before="60" w:after="20"/>
        <w:ind w:firstLine="425"/>
        <w:jc w:val="both"/>
        <w:rPr>
          <w:rFonts w:asciiTheme="majorBidi" w:hAnsiTheme="majorBidi" w:cstheme="majorBidi"/>
          <w:sz w:val="32"/>
          <w:szCs w:val="32"/>
          <w:rtl/>
        </w:rPr>
      </w:pPr>
      <w:r w:rsidRPr="000E178E">
        <w:rPr>
          <w:rFonts w:asciiTheme="majorBidi" w:hAnsiTheme="majorBidi" w:cstheme="majorBidi"/>
          <w:sz w:val="32"/>
          <w:szCs w:val="32"/>
          <w:rtl/>
        </w:rPr>
        <w:t>وأحسن طريقة لفهم معنى الكلمة هو وجودها في التركيب الذي يسهم في إبراز معناها ويجعلها متباينة عن تلك التي تقاربها أو تبدو مشابهة لها، بالإضافة إلى الوظائف الدلالية ذات الارتباط بالمحيط والثقافة اللذين يعبران عن دلالة اللفظ المستقلة عن كلّ كلمات اللغة(</w:t>
      </w:r>
      <w:r w:rsidRPr="000E178E">
        <w:rPr>
          <w:rStyle w:val="Appelnotedebasdep"/>
          <w:rFonts w:asciiTheme="majorBidi" w:hAnsiTheme="majorBidi" w:cstheme="majorBidi"/>
          <w:sz w:val="32"/>
          <w:szCs w:val="32"/>
          <w:rtl/>
        </w:rPr>
        <w:footnoteReference w:id="3"/>
      </w:r>
      <w:r w:rsidRPr="000E178E">
        <w:rPr>
          <w:rFonts w:asciiTheme="majorBidi" w:hAnsiTheme="majorBidi" w:cstheme="majorBidi"/>
          <w:sz w:val="32"/>
          <w:szCs w:val="32"/>
          <w:rtl/>
        </w:rPr>
        <w:t xml:space="preserve">). </w:t>
      </w:r>
    </w:p>
    <w:p w:rsidR="00FC347D" w:rsidRPr="000E178E" w:rsidRDefault="00FC347D" w:rsidP="000E178E">
      <w:pPr>
        <w:bidi/>
        <w:spacing w:before="60" w:after="20"/>
        <w:ind w:firstLine="425"/>
        <w:jc w:val="both"/>
        <w:rPr>
          <w:rFonts w:asciiTheme="majorBidi" w:hAnsiTheme="majorBidi" w:cstheme="majorBidi"/>
          <w:sz w:val="32"/>
          <w:szCs w:val="32"/>
          <w:rtl/>
        </w:rPr>
      </w:pPr>
      <w:r w:rsidRPr="000E178E">
        <w:rPr>
          <w:rFonts w:asciiTheme="majorBidi" w:hAnsiTheme="majorBidi" w:cstheme="majorBidi"/>
          <w:sz w:val="32"/>
          <w:szCs w:val="32"/>
          <w:rtl/>
        </w:rPr>
        <w:t xml:space="preserve">أمّا المعجم فهو حقيقة اللغة التي يكتسبها الفرد عن طريق معرفة المفردات الخاصة، التي تتوافر على تشكيل الخطاب وبنائه، فالمعجم  يتجاوز المفردات، ولكن لا يبلّغ إلاّ بها، ولا تكون المفردات إلاَّ بوجود المعجم لأنَّها تعدّ عيّنة منه، وعلى </w:t>
      </w:r>
      <w:r w:rsidRPr="000E178E">
        <w:rPr>
          <w:rFonts w:asciiTheme="majorBidi" w:hAnsiTheme="majorBidi" w:cstheme="majorBidi"/>
          <w:sz w:val="32"/>
          <w:szCs w:val="32"/>
          <w:rtl/>
        </w:rPr>
        <w:lastRenderedPageBreak/>
        <w:t>الرغم من أنَّه يصعب معرفة عدد الكلمات التي تكوّن معجم اللغة، إلاَّ أنَّ عددها محدّد نسبياً في اللغة المعيّنة، وهو قابل للإثراء والازدياد والافتقار(</w:t>
      </w:r>
      <w:r w:rsidRPr="000E178E">
        <w:rPr>
          <w:rStyle w:val="Appelnotedebasdep"/>
          <w:rFonts w:asciiTheme="majorBidi" w:hAnsiTheme="majorBidi" w:cstheme="majorBidi"/>
          <w:sz w:val="32"/>
          <w:szCs w:val="32"/>
          <w:rtl/>
        </w:rPr>
        <w:footnoteReference w:id="4"/>
      </w:r>
      <w:r w:rsidRPr="000E178E">
        <w:rPr>
          <w:rFonts w:asciiTheme="majorBidi" w:hAnsiTheme="majorBidi" w:cstheme="majorBidi"/>
          <w:sz w:val="32"/>
          <w:szCs w:val="32"/>
          <w:rtl/>
        </w:rPr>
        <w:t>).</w:t>
      </w:r>
    </w:p>
    <w:p w:rsidR="00FC347D" w:rsidRPr="000E178E" w:rsidRDefault="00FC347D" w:rsidP="000E178E">
      <w:pPr>
        <w:bidi/>
        <w:spacing w:before="60" w:after="20"/>
        <w:ind w:firstLine="425"/>
        <w:jc w:val="both"/>
        <w:rPr>
          <w:rFonts w:asciiTheme="majorBidi" w:hAnsiTheme="majorBidi" w:cstheme="majorBidi"/>
          <w:sz w:val="32"/>
          <w:szCs w:val="32"/>
          <w:rtl/>
        </w:rPr>
      </w:pPr>
      <w:r w:rsidRPr="000E178E">
        <w:rPr>
          <w:rFonts w:asciiTheme="majorBidi" w:hAnsiTheme="majorBidi" w:cstheme="majorBidi"/>
          <w:sz w:val="32"/>
          <w:szCs w:val="32"/>
          <w:rtl/>
        </w:rPr>
        <w:t>وكلّ لغة تمتلك صورة عن الوجود خاصة بها، وتتميّز نظرة الناطقين بها إلى الحياة عن غيرهم، لاختلاف لغتهم  عن اللغات الأخرى، ومجموع كلماتها يدلّ على الجنس، أو النوع، أو أصناف الموجودات المادية والمعنوية، والكلمة الواحدة في أيّة لغة تندرج تحتها مجموعة تطول أو تقصر  من الألفاظ كالمكتب والكرسي والناقة والفرح والحزن، فكل لفظ من هذه الألفاظ يضمّ عدداً من الأفراد أو الأحداث جمعت تحت عنوان واحد، وكوّنت صنفاً واحداً، ولذلك كانت مفردات كلّ لغة من اللغات ضرباً من التصنيف للموجودات الذي يعدّ أساسياً في فهم العلاقة بينها، وهو إدراك لنظرية الحقول الدلالية(</w:t>
      </w:r>
      <w:r w:rsidRPr="000E178E">
        <w:rPr>
          <w:rStyle w:val="Appelnotedebasdep"/>
          <w:rFonts w:asciiTheme="majorBidi" w:hAnsiTheme="majorBidi" w:cstheme="majorBidi"/>
          <w:sz w:val="32"/>
          <w:szCs w:val="32"/>
          <w:rtl/>
        </w:rPr>
        <w:footnoteReference w:id="5"/>
      </w:r>
      <w:r w:rsidRPr="000E178E">
        <w:rPr>
          <w:rFonts w:asciiTheme="majorBidi" w:hAnsiTheme="majorBidi" w:cstheme="majorBidi"/>
          <w:sz w:val="32"/>
          <w:szCs w:val="32"/>
          <w:rtl/>
        </w:rPr>
        <w:t>).</w:t>
      </w:r>
    </w:p>
    <w:p w:rsidR="00FC347D" w:rsidRPr="000E178E" w:rsidRDefault="00FC347D" w:rsidP="000E178E">
      <w:pPr>
        <w:bidi/>
        <w:spacing w:before="60" w:after="20"/>
        <w:ind w:firstLine="425"/>
        <w:jc w:val="both"/>
        <w:rPr>
          <w:rFonts w:asciiTheme="majorBidi" w:hAnsiTheme="majorBidi" w:cstheme="majorBidi"/>
          <w:sz w:val="32"/>
          <w:szCs w:val="32"/>
          <w:rtl/>
        </w:rPr>
      </w:pPr>
      <w:r w:rsidRPr="000E178E">
        <w:rPr>
          <w:rFonts w:asciiTheme="majorBidi" w:hAnsiTheme="majorBidi" w:cstheme="majorBidi"/>
          <w:sz w:val="32"/>
          <w:szCs w:val="32"/>
          <w:rtl/>
        </w:rPr>
        <w:t>والتصنيف هو تقسيم الأشياء أو المعاني وترتيبها في نظام خاص، وعلى أساس معيّن، بحيث تبدو الصلة  واضحة بين بعضها البعض، مثل تصنيف الكائنات، وتصنيف العلوم.(</w:t>
      </w:r>
      <w:r w:rsidRPr="000E178E">
        <w:rPr>
          <w:rStyle w:val="Appelnotedebasdep"/>
          <w:rFonts w:asciiTheme="majorBidi" w:hAnsiTheme="majorBidi" w:cstheme="majorBidi"/>
          <w:sz w:val="32"/>
          <w:szCs w:val="32"/>
          <w:rtl/>
        </w:rPr>
        <w:footnoteReference w:id="6"/>
      </w:r>
      <w:r w:rsidRPr="000E178E">
        <w:rPr>
          <w:rFonts w:asciiTheme="majorBidi" w:hAnsiTheme="majorBidi" w:cstheme="majorBidi"/>
          <w:sz w:val="32"/>
          <w:szCs w:val="32"/>
          <w:rtl/>
        </w:rPr>
        <w:t xml:space="preserve">). </w:t>
      </w:r>
    </w:p>
    <w:p w:rsidR="00FC347D" w:rsidRPr="000E178E" w:rsidRDefault="00FC347D" w:rsidP="000E178E">
      <w:pPr>
        <w:bidi/>
        <w:spacing w:before="60" w:after="20"/>
        <w:ind w:firstLine="425"/>
        <w:jc w:val="both"/>
        <w:rPr>
          <w:rFonts w:asciiTheme="majorBidi" w:hAnsiTheme="majorBidi" w:cstheme="majorBidi"/>
          <w:sz w:val="32"/>
          <w:szCs w:val="32"/>
          <w:rtl/>
        </w:rPr>
      </w:pPr>
      <w:r w:rsidRPr="000E178E">
        <w:rPr>
          <w:rFonts w:asciiTheme="majorBidi" w:hAnsiTheme="majorBidi" w:cstheme="majorBidi"/>
          <w:sz w:val="32"/>
          <w:szCs w:val="32"/>
          <w:rtl/>
        </w:rPr>
        <w:t>كما تقدّم اللّغة لكل فرد ألفاظاً تدلّ  على عموميات وكلّيات وأنواع  وأجناس. فإذا قال قائل "قعدت تحت الشجرة"، أو "ركبت السيارة"، أو "حزنت لخبر مؤلم"، فالمخاطب ـ بفتح الطاء ـ لا يتمكّن لمجرد سماعه هذه العبارات أن يتصوّر تلك الشجرة التي أرادها بذاتها، ولا هيئة القعود، ولا السيارة المقصودة بعينها، ولا هيئة الركوب ولا درجة الحزن وحقيقة الخبر، لأنَّ الألفاظ عامّة يندرج تحتها أنواع لا تحصى من الشجر والسيارات والأخبار وهيئات القعود والركوب ودرجات الحزن والألم"(</w:t>
      </w:r>
      <w:r w:rsidRPr="000E178E">
        <w:rPr>
          <w:rStyle w:val="Appelnotedebasdep"/>
          <w:rFonts w:asciiTheme="majorBidi" w:hAnsiTheme="majorBidi" w:cstheme="majorBidi"/>
          <w:sz w:val="32"/>
          <w:szCs w:val="32"/>
          <w:rtl/>
        </w:rPr>
        <w:footnoteReference w:id="7"/>
      </w:r>
      <w:r w:rsidRPr="000E178E">
        <w:rPr>
          <w:rFonts w:asciiTheme="majorBidi" w:hAnsiTheme="majorBidi" w:cstheme="majorBidi"/>
          <w:sz w:val="32"/>
          <w:szCs w:val="32"/>
          <w:rtl/>
        </w:rPr>
        <w:t xml:space="preserve">). </w:t>
      </w:r>
    </w:p>
    <w:p w:rsidR="00FC347D" w:rsidRPr="000E178E" w:rsidRDefault="00FC347D" w:rsidP="000E178E">
      <w:pPr>
        <w:autoSpaceDE w:val="0"/>
        <w:autoSpaceDN w:val="0"/>
        <w:bidi/>
        <w:adjustRightInd w:val="0"/>
        <w:spacing w:after="0"/>
        <w:jc w:val="both"/>
        <w:rPr>
          <w:rFonts w:ascii="SimplifiedArabic-Bold-Identity-" w:cs="SimplifiedArabic-Bold-Identity-"/>
          <w:b/>
          <w:bCs/>
          <w:sz w:val="32"/>
          <w:szCs w:val="32"/>
        </w:rPr>
      </w:pPr>
      <w:r w:rsidRPr="000E178E">
        <w:rPr>
          <w:rFonts w:ascii="SimplifiedArabic-Bold-Identity-" w:cs="SimplifiedArabic-Bold-Identity-" w:hint="cs"/>
          <w:b/>
          <w:bCs/>
          <w:sz w:val="32"/>
          <w:szCs w:val="32"/>
          <w:rtl/>
        </w:rPr>
        <w:t>ظهور</w:t>
      </w:r>
      <w:r w:rsidRPr="000E178E">
        <w:rPr>
          <w:rFonts w:ascii="SimplifiedArabic-Bold-Identity-" w:cs="SimplifiedArabic-Bold-Identity-"/>
          <w:b/>
          <w:bCs/>
          <w:sz w:val="32"/>
          <w:szCs w:val="32"/>
        </w:rPr>
        <w:t xml:space="preserve"> </w:t>
      </w:r>
      <w:r w:rsidRPr="000E178E">
        <w:rPr>
          <w:rFonts w:ascii="SimplifiedArabic-Bold-Identity-" w:cs="SimplifiedArabic-Bold-Identity-" w:hint="cs"/>
          <w:b/>
          <w:bCs/>
          <w:sz w:val="32"/>
          <w:szCs w:val="32"/>
          <w:rtl/>
        </w:rPr>
        <w:t>مصطلح</w:t>
      </w:r>
      <w:r w:rsidRPr="000E178E">
        <w:rPr>
          <w:rFonts w:ascii="SimplifiedArabic-Bold-Identity-" w:cs="SimplifiedArabic-Bold-Identity-"/>
          <w:b/>
          <w:bCs/>
          <w:sz w:val="32"/>
          <w:szCs w:val="32"/>
        </w:rPr>
        <w:t xml:space="preserve"> "</w:t>
      </w:r>
      <w:r w:rsidRPr="000E178E">
        <w:rPr>
          <w:rFonts w:ascii="SimplifiedArabic-Bold-Identity-" w:cs="SimplifiedArabic-Bold-Identity-" w:hint="cs"/>
          <w:b/>
          <w:bCs/>
          <w:sz w:val="32"/>
          <w:szCs w:val="32"/>
          <w:rtl/>
        </w:rPr>
        <w:t>معجم</w:t>
      </w:r>
      <w:r w:rsidRPr="000E178E">
        <w:rPr>
          <w:rFonts w:ascii="SimplifiedArabic-Bold-Identity-" w:cs="SimplifiedArabic-Bold-Identity-"/>
          <w:b/>
          <w:bCs/>
          <w:sz w:val="32"/>
          <w:szCs w:val="32"/>
        </w:rPr>
        <w:t>":</w:t>
      </w:r>
    </w:p>
    <w:p w:rsidR="00FC347D" w:rsidRPr="000E178E" w:rsidRDefault="00FC347D" w:rsidP="000E178E">
      <w:pPr>
        <w:autoSpaceDE w:val="0"/>
        <w:autoSpaceDN w:val="0"/>
        <w:bidi/>
        <w:adjustRightInd w:val="0"/>
        <w:spacing w:after="0"/>
        <w:jc w:val="both"/>
        <w:rPr>
          <w:rFonts w:ascii="SimplifiedArabic-Identity-H" w:cs="SimplifiedArabic-Identity-H"/>
          <w:sz w:val="32"/>
          <w:szCs w:val="32"/>
        </w:rPr>
      </w:pPr>
      <w:r w:rsidRPr="000E178E">
        <w:rPr>
          <w:rFonts w:ascii="SimplifiedArabic-Identity-H" w:cs="SimplifiedArabic-Identity-H" w:hint="cs"/>
          <w:sz w:val="32"/>
          <w:szCs w:val="32"/>
          <w:rtl/>
        </w:rPr>
        <w:t>لم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یُعر</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مُعجمیونا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اهتمامً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لتأریخ</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الألفاظ</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وسیرورتها،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ولم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یكن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ذلك</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همّا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عندهم،</w:t>
      </w:r>
    </w:p>
    <w:p w:rsidR="00FC347D" w:rsidRPr="000E178E" w:rsidRDefault="00FC347D" w:rsidP="000E178E">
      <w:pPr>
        <w:autoSpaceDE w:val="0"/>
        <w:autoSpaceDN w:val="0"/>
        <w:bidi/>
        <w:adjustRightInd w:val="0"/>
        <w:spacing w:after="0"/>
        <w:jc w:val="both"/>
        <w:rPr>
          <w:rFonts w:ascii="SimplifiedArabic-Identity-H" w:cs="SimplifiedArabic-Identity-H"/>
          <w:sz w:val="32"/>
          <w:szCs w:val="32"/>
        </w:rPr>
      </w:pPr>
      <w:r w:rsidRPr="000E178E">
        <w:rPr>
          <w:rFonts w:ascii="SimplifiedArabic-Identity-H" w:cs="SimplifiedArabic-Identity-H" w:hint="cs"/>
          <w:sz w:val="32"/>
          <w:szCs w:val="32"/>
          <w:rtl/>
        </w:rPr>
        <w:t>ویكاد</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یجمع</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الباحثون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أهل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الحدیث</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هم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كانوا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أسبق</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في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الاستعمال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لهذه</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اللفظة،</w:t>
      </w:r>
    </w:p>
    <w:p w:rsidR="00FC347D" w:rsidRPr="000E178E" w:rsidRDefault="00FC347D" w:rsidP="007660B3">
      <w:pPr>
        <w:autoSpaceDE w:val="0"/>
        <w:autoSpaceDN w:val="0"/>
        <w:bidi/>
        <w:adjustRightInd w:val="0"/>
        <w:spacing w:after="0"/>
        <w:jc w:val="both"/>
        <w:rPr>
          <w:rFonts w:ascii="SimplifiedArabic-Identity-H" w:cs="SimplifiedArabic-Identity-H"/>
          <w:sz w:val="32"/>
          <w:szCs w:val="32"/>
          <w:rtl/>
        </w:rPr>
      </w:pPr>
      <w:r w:rsidRPr="000E178E">
        <w:rPr>
          <w:rFonts w:ascii="SimplifiedArabic-Identity-H" w:cs="SimplifiedArabic-Identity-H" w:hint="cs"/>
          <w:sz w:val="32"/>
          <w:szCs w:val="32"/>
          <w:rtl/>
        </w:rPr>
        <w:t>وقد</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استعمله</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أصحاب</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المعاجم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أوّل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مرّة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مع</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نهایات</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القرن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الرابع</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الهجري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یقول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الدكتورعبد</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الغفور</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عطّار</w:t>
      </w:r>
      <w:r w:rsidRPr="000E178E">
        <w:rPr>
          <w:rFonts w:ascii="SimplifiedArabic-Identity-H" w:cs="SimplifiedArabic-Identity-H"/>
          <w:sz w:val="32"/>
          <w:szCs w:val="32"/>
        </w:rPr>
        <w:t>: "</w:t>
      </w:r>
      <w:r w:rsidRPr="000E178E">
        <w:rPr>
          <w:rFonts w:ascii="SimplifiedArabic-Identity-H" w:cs="SimplifiedArabic-Identity-H" w:hint="cs"/>
          <w:sz w:val="32"/>
          <w:szCs w:val="32"/>
          <w:rtl/>
        </w:rPr>
        <w:t>ولا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نعلم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بالدقة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متى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أطلقت</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كلمة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المعجم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بالمعنى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المتعارف</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علیه</w:t>
      </w:r>
      <w:r w:rsidRPr="000E178E">
        <w:rPr>
          <w:rFonts w:ascii="SimplifiedArabic-Identity-H" w:cs="SimplifiedArabic-Identity-H" w:hint="cs"/>
          <w:sz w:val="32"/>
          <w:szCs w:val="32"/>
          <w:rtl/>
          <w:lang w:bidi="ar-DZ"/>
        </w:rPr>
        <w:t xml:space="preserve"> </w:t>
      </w:r>
      <w:r w:rsidRPr="000E178E">
        <w:rPr>
          <w:rFonts w:ascii="SimplifiedArabic-Identity-H" w:cs="SimplifiedArabic-Identity-H" w:hint="cs"/>
          <w:sz w:val="32"/>
          <w:szCs w:val="32"/>
          <w:rtl/>
        </w:rPr>
        <w:t>الیوم،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ولا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اسم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أطلقها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لأوّل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مرّة،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ولا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الكتاب</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رئد</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في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حمل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lastRenderedPageBreak/>
        <w:t>هذه</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الكلمة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في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عنوانه،وذلك</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لضیاع</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كثیر</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كتبنا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وآثارنا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القدیمة</w:t>
      </w:r>
      <w:r w:rsidRPr="000E178E">
        <w:rPr>
          <w:rFonts w:ascii="SimplifiedArabic-Identity-H" w:cs="SimplifiedArabic-Identity-H"/>
          <w:sz w:val="32"/>
          <w:szCs w:val="32"/>
        </w:rPr>
        <w:t xml:space="preserve">" </w:t>
      </w:r>
      <w:r w:rsidRPr="000E178E">
        <w:rPr>
          <w:rStyle w:val="Appelnotedebasdep"/>
          <w:rFonts w:ascii="SimplifiedArabic-Identity-H" w:cs="SimplifiedArabic-Identity-H"/>
          <w:sz w:val="32"/>
          <w:szCs w:val="32"/>
        </w:rPr>
        <w:footnoteReference w:id="8"/>
      </w:r>
      <w:r w:rsidRPr="000E178E">
        <w:rPr>
          <w:rFonts w:ascii="TraditionalArabic-Identity-H" w:cs="TraditionalArabic-Identity-H"/>
          <w:sz w:val="32"/>
          <w:szCs w:val="32"/>
        </w:rPr>
        <w:t xml:space="preserve"> </w:t>
      </w:r>
      <w:r w:rsidRPr="000E178E">
        <w:rPr>
          <w:rFonts w:ascii="SimplifiedArabic-Identity-H" w:cs="SimplifiedArabic-Identity-H" w:hint="cs"/>
          <w:sz w:val="32"/>
          <w:szCs w:val="32"/>
          <w:rtl/>
        </w:rPr>
        <w:t>ولكن</w:t>
      </w:r>
      <w:r w:rsidRPr="000E178E">
        <w:rPr>
          <w:rFonts w:ascii="SimplifiedArabic-Identity-H" w:cs="SimplifiedArabic-Identity-H"/>
          <w:sz w:val="32"/>
          <w:szCs w:val="32"/>
        </w:rPr>
        <w:t xml:space="preserve"> </w:t>
      </w:r>
      <w:r w:rsidR="000028A7">
        <w:rPr>
          <w:rFonts w:ascii="SimplifiedArabic-Identity-H" w:cs="SimplifiedArabic-Identity-H" w:hint="cs"/>
          <w:sz w:val="32"/>
          <w:szCs w:val="32"/>
          <w:rtl/>
        </w:rPr>
        <w:t>(</w:t>
      </w:r>
      <w:r w:rsidRPr="000E178E">
        <w:rPr>
          <w:rFonts w:ascii="SimplifiedArabic-Identity-H" w:cs="SimplifiedArabic-Identity-H" w:hint="cs"/>
          <w:sz w:val="32"/>
          <w:szCs w:val="32"/>
          <w:rtl/>
        </w:rPr>
        <w:t>معجم</w:t>
      </w:r>
      <w:r w:rsidR="000028A7">
        <w:rPr>
          <w:rFonts w:ascii="SimplifiedArabic-Identity-H" w:cs="SimplifiedArabic-Identity-H" w:hint="cs"/>
          <w:sz w:val="32"/>
          <w:szCs w:val="32"/>
          <w:rtl/>
        </w:rPr>
        <w:t>)</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الذي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نعلمه</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أول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من</w:t>
      </w:r>
      <w:r w:rsidRPr="000E178E">
        <w:rPr>
          <w:rFonts w:ascii="SimplifiedArabic-Identity-H" w:cs="SimplifiedArabic-Identity-H" w:hint="cs"/>
          <w:sz w:val="32"/>
          <w:szCs w:val="32"/>
          <w:rtl/>
          <w:lang w:bidi="ar-DZ"/>
        </w:rPr>
        <w:t xml:space="preserve"> </w:t>
      </w:r>
      <w:r w:rsidRPr="000E178E">
        <w:rPr>
          <w:rFonts w:ascii="SimplifiedArabic-Identity-H" w:cs="SimplifiedArabic-Identity-H" w:hint="cs"/>
          <w:sz w:val="32"/>
          <w:szCs w:val="32"/>
          <w:rtl/>
        </w:rPr>
        <w:t>استعمل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الكلمة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رجال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الحدیث،</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وأول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عرف</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كان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في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القرن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الثالث</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وأول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كتاب أطلق</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علیه</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اسم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المعجم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هو</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معجم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الصحابة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لأبي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یعلى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محدّث</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الجزیرة</w:t>
      </w:r>
      <w:r w:rsidRPr="000E178E">
        <w:rPr>
          <w:rFonts w:ascii="SimplifiedArabic-Identity-H" w:cs="SimplifiedArabic-Identity-H"/>
          <w:sz w:val="32"/>
          <w:szCs w:val="32"/>
        </w:rPr>
        <w:t xml:space="preserve"> </w:t>
      </w:r>
      <w:r w:rsidR="007660B3">
        <w:rPr>
          <w:rFonts w:ascii="SimplifiedArabic-Identity-H" w:cs="SimplifiedArabic-Identity-H" w:hint="cs"/>
          <w:sz w:val="32"/>
          <w:szCs w:val="32"/>
          <w:rtl/>
        </w:rPr>
        <w:t>(</w:t>
      </w:r>
      <w:r w:rsidRPr="000E178E">
        <w:rPr>
          <w:rFonts w:ascii="SimplifiedArabic-Identity-H" w:cs="SimplifiedArabic-Identity-H" w:hint="cs"/>
          <w:sz w:val="32"/>
          <w:szCs w:val="32"/>
          <w:rtl/>
        </w:rPr>
        <w:t>ت</w:t>
      </w:r>
      <w:r w:rsidRPr="000E178E">
        <w:rPr>
          <w:rFonts w:ascii="SimplifiedArabic-Identity-H" w:cs="SimplifiedArabic-Identity-H"/>
          <w:sz w:val="32"/>
          <w:szCs w:val="32"/>
        </w:rPr>
        <w:t xml:space="preserve"> 307 </w:t>
      </w:r>
      <w:r w:rsidRPr="000E178E">
        <w:rPr>
          <w:rFonts w:ascii="SimplifiedArabic-Identity-H" w:cs="SimplifiedArabic-Identity-H" w:hint="cs"/>
          <w:sz w:val="32"/>
          <w:szCs w:val="32"/>
          <w:rtl/>
        </w:rPr>
        <w:t>ه</w:t>
      </w:r>
      <w:r w:rsidRPr="000E178E">
        <w:rPr>
          <w:rFonts w:ascii="SimplifiedArabic-Identity-H" w:cs="SimplifiedArabic-Identity-H"/>
          <w:sz w:val="32"/>
          <w:szCs w:val="32"/>
        </w:rPr>
        <w:t xml:space="preserve"> </w:t>
      </w:r>
      <w:r w:rsidR="007660B3">
        <w:rPr>
          <w:rFonts w:ascii="SimplifiedArabic-Identity-H" w:cs="SimplifiedArabic-Identity-H" w:hint="cs"/>
          <w:sz w:val="32"/>
          <w:szCs w:val="32"/>
          <w:rtl/>
        </w:rPr>
        <w:t>)</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ولقد</w:t>
      </w:r>
      <w:r w:rsidRPr="000E178E">
        <w:rPr>
          <w:rFonts w:ascii="SimplifiedArabic-Identity-H" w:cs="SimplifiedArabic-Identity-H" w:hint="cs"/>
          <w:sz w:val="32"/>
          <w:szCs w:val="32"/>
          <w:rtl/>
          <w:lang w:bidi="ar-DZ"/>
        </w:rPr>
        <w:t xml:space="preserve"> </w:t>
      </w:r>
      <w:r w:rsidRPr="000E178E">
        <w:rPr>
          <w:rFonts w:ascii="SimplifiedArabic-Identity-H" w:cs="SimplifiedArabic-Identity-H" w:hint="cs"/>
          <w:sz w:val="32"/>
          <w:szCs w:val="32"/>
          <w:rtl/>
        </w:rPr>
        <w:t>ترجم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أبو</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یَعلى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لشیوخه</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على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حروف</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الهجاء</w:t>
      </w:r>
      <w:r w:rsidRPr="000E178E">
        <w:rPr>
          <w:rFonts w:ascii="SimplifiedArabic-Identity-H" w:cs="SimplifiedArabic-Identity-H"/>
          <w:sz w:val="32"/>
          <w:szCs w:val="32"/>
        </w:rPr>
        <w:t xml:space="preserve">. </w:t>
      </w:r>
      <w:r w:rsidRPr="000E178E">
        <w:rPr>
          <w:rFonts w:ascii="TraditionalArabic-Identity-H" w:cs="TraditionalArabic-Identity-H"/>
          <w:sz w:val="32"/>
          <w:szCs w:val="32"/>
        </w:rPr>
        <w:t xml:space="preserve">2 </w:t>
      </w:r>
      <w:r w:rsidRPr="000E178E">
        <w:rPr>
          <w:rFonts w:ascii="SimplifiedArabic-Identity-H" w:cs="SimplifiedArabic-Identity-H" w:hint="cs"/>
          <w:sz w:val="32"/>
          <w:szCs w:val="32"/>
          <w:rtl/>
        </w:rPr>
        <w:t>وی</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رأى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الدكتور</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حجازي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أنّ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اللفظ</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كان یطلق</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على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كتب</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الطبقات</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رتّبة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على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حروف</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المعجم،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فصار</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یطلق</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على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كتاب الكلمات</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المرتبة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على</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حروف</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المعجم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وقد</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كان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الشّائع</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في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الاستعمال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في</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البدایة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هولفظ</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كتاب</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وأ</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ول</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معجم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بهذا</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الاسم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هو</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معجم</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مقاییس</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اللّغة</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لابن</w:t>
      </w:r>
      <w:r w:rsidRPr="000E178E">
        <w:rPr>
          <w:rFonts w:ascii="SimplifiedArabic-Identity-H" w:cs="SimplifiedArabic-Identity-H"/>
          <w:sz w:val="32"/>
          <w:szCs w:val="32"/>
        </w:rPr>
        <w:t xml:space="preserve"> </w:t>
      </w:r>
      <w:r w:rsidRPr="000E178E">
        <w:rPr>
          <w:rFonts w:ascii="SimplifiedArabic-Identity-H" w:cs="SimplifiedArabic-Identity-H" w:hint="cs"/>
          <w:sz w:val="32"/>
          <w:szCs w:val="32"/>
          <w:rtl/>
        </w:rPr>
        <w:t>فارس</w:t>
      </w:r>
      <w:r w:rsidRPr="000E178E">
        <w:rPr>
          <w:rFonts w:asciiTheme="majorBidi" w:hAnsiTheme="majorBidi" w:cstheme="majorBidi"/>
          <w:sz w:val="32"/>
          <w:szCs w:val="32"/>
          <w:rtl/>
        </w:rPr>
        <w:t xml:space="preserve"> وأدّى ما سبق إلى إبراز منهج يمتلك الأدوات الإجرائية لتحديد الدلالة في المستوى اللغوي الواحد، فبرزت مقاربات كثيرة في اللسانيات تهدف إلى البحث في الدلالة وكان من أهمّها نظرية الحقول الدلالية(</w:t>
      </w:r>
      <w:r w:rsidRPr="000E178E">
        <w:rPr>
          <w:rStyle w:val="Appelnotedebasdep"/>
          <w:rFonts w:asciiTheme="majorBidi" w:hAnsiTheme="majorBidi" w:cstheme="majorBidi"/>
          <w:sz w:val="32"/>
          <w:szCs w:val="32"/>
          <w:rtl/>
        </w:rPr>
        <w:footnoteReference w:id="9"/>
      </w:r>
      <w:r w:rsidRPr="000E178E">
        <w:rPr>
          <w:rFonts w:asciiTheme="majorBidi" w:hAnsiTheme="majorBidi" w:cstheme="majorBidi"/>
          <w:sz w:val="32"/>
          <w:szCs w:val="32"/>
          <w:rtl/>
        </w:rPr>
        <w:t xml:space="preserve">). </w:t>
      </w:r>
    </w:p>
    <w:p w:rsidR="00FC347D" w:rsidRDefault="00FC347D" w:rsidP="000E178E">
      <w:pPr>
        <w:bidi/>
        <w:spacing w:before="60" w:after="20"/>
        <w:ind w:firstLine="425"/>
        <w:jc w:val="both"/>
        <w:rPr>
          <w:rFonts w:asciiTheme="majorBidi" w:hAnsiTheme="majorBidi" w:cstheme="majorBidi" w:hint="cs"/>
          <w:sz w:val="32"/>
          <w:szCs w:val="32"/>
          <w:rtl/>
        </w:rPr>
      </w:pPr>
      <w:r w:rsidRPr="000E178E">
        <w:rPr>
          <w:rFonts w:asciiTheme="majorBidi" w:hAnsiTheme="majorBidi" w:cstheme="majorBidi"/>
          <w:sz w:val="32"/>
          <w:szCs w:val="32"/>
          <w:rtl/>
        </w:rPr>
        <w:t>وليس ثمّة لبس أو خلط بين المنهج والنظرية حين التطرّق إلى الحقول الدلالية، لأنَّ النظرية هي مجموع الأفكار والآراء والقوانين الخاصة بمجال معيّن،  أما المنهج</w:t>
      </w:r>
      <w:r w:rsidRPr="000F7A1E">
        <w:rPr>
          <w:rFonts w:asciiTheme="majorBidi" w:hAnsiTheme="majorBidi" w:cstheme="majorBidi"/>
          <w:sz w:val="32"/>
          <w:szCs w:val="32"/>
          <w:rtl/>
        </w:rPr>
        <w:t xml:space="preserve"> فهو انتقال هذه الأفكار والقوانين من مجالها النظري المجرّد إلى  التطبيق والاختبار والإجراء. </w:t>
      </w:r>
    </w:p>
    <w:p w:rsidR="00C33B23" w:rsidRPr="00C33B23" w:rsidRDefault="00C33B23" w:rsidP="00C33B23">
      <w:pPr>
        <w:pStyle w:val="Paragraphedeliste"/>
        <w:numPr>
          <w:ilvl w:val="0"/>
          <w:numId w:val="6"/>
        </w:numPr>
        <w:bidi/>
        <w:spacing w:before="60" w:after="20"/>
        <w:jc w:val="both"/>
        <w:rPr>
          <w:rFonts w:asciiTheme="majorBidi" w:hAnsiTheme="majorBidi" w:cstheme="majorBidi"/>
          <w:b/>
          <w:bCs/>
          <w:sz w:val="32"/>
          <w:szCs w:val="32"/>
          <w:rtl/>
        </w:rPr>
      </w:pPr>
      <w:r w:rsidRPr="00C33B23">
        <w:rPr>
          <w:rFonts w:asciiTheme="majorBidi" w:hAnsiTheme="majorBidi" w:cstheme="majorBidi" w:hint="cs"/>
          <w:b/>
          <w:bCs/>
          <w:sz w:val="32"/>
          <w:szCs w:val="32"/>
          <w:rtl/>
        </w:rPr>
        <w:t>الحقول الدلالية :</w:t>
      </w:r>
    </w:p>
    <w:p w:rsidR="00FC347D" w:rsidRPr="000F7A1E" w:rsidRDefault="00FC347D" w:rsidP="000E178E">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فحين القول بنظرية "</w:t>
      </w:r>
      <w:r w:rsidRPr="000F7A1E">
        <w:rPr>
          <w:rFonts w:asciiTheme="majorBidi" w:hAnsiTheme="majorBidi" w:cstheme="majorBidi"/>
          <w:b/>
          <w:bCs/>
          <w:sz w:val="32"/>
          <w:szCs w:val="32"/>
          <w:rtl/>
        </w:rPr>
        <w:t>الحقول الدلالية</w:t>
      </w:r>
      <w:r w:rsidRPr="000F7A1E">
        <w:rPr>
          <w:rFonts w:asciiTheme="majorBidi" w:hAnsiTheme="majorBidi" w:cstheme="majorBidi"/>
          <w:sz w:val="32"/>
          <w:szCs w:val="32"/>
          <w:rtl/>
        </w:rPr>
        <w:t>"، فالمقصود هو مستوى المادة الخام، التي يستلهمها الدارس منهجاً تجريبياً على موضوع من الموضوعات اللسانية أو  الأدبية، أي أنَّ النظرية هي مجموعة منظّمة ومتناسقة من المبادئ، والقواعد، والقوانين العلمية التي تهدف إلى وصف وشرح مجموعة من الأحداث والظواهر.</w:t>
      </w:r>
    </w:p>
    <w:p w:rsidR="00FC347D" w:rsidRDefault="00FC347D" w:rsidP="000E178E">
      <w:pPr>
        <w:pStyle w:val="Retraitcorpsdetexte3"/>
        <w:widowControl/>
        <w:spacing w:after="20" w:line="276" w:lineRule="auto"/>
        <w:jc w:val="both"/>
        <w:rPr>
          <w:rFonts w:asciiTheme="majorBidi" w:hAnsiTheme="majorBidi" w:cstheme="majorBidi"/>
          <w:spacing w:val="0"/>
          <w:sz w:val="32"/>
          <w:szCs w:val="32"/>
          <w:lang w:eastAsia="ar-SA"/>
        </w:rPr>
      </w:pPr>
      <w:r w:rsidRPr="000F7A1E">
        <w:rPr>
          <w:rFonts w:asciiTheme="majorBidi" w:hAnsiTheme="majorBidi" w:cstheme="majorBidi"/>
          <w:spacing w:val="0"/>
          <w:sz w:val="32"/>
          <w:szCs w:val="32"/>
          <w:rtl/>
          <w:lang w:eastAsia="ar-SA"/>
        </w:rPr>
        <w:t>أمَّا المنهجية فهي مجموعة من القواعد والمبادئ والمراحل، منظّمة بطريقة  منطقية وتعدّ وسيلة توصل إلى نتيجة معيّنة(</w:t>
      </w:r>
      <w:r w:rsidRPr="000F7A1E">
        <w:rPr>
          <w:rStyle w:val="Appelnotedebasdep"/>
          <w:rFonts w:asciiTheme="majorBidi" w:hAnsiTheme="majorBidi" w:cstheme="majorBidi"/>
          <w:spacing w:val="0"/>
          <w:sz w:val="32"/>
          <w:szCs w:val="32"/>
          <w:rtl/>
          <w:lang w:eastAsia="ar-SA"/>
        </w:rPr>
        <w:footnoteReference w:id="10"/>
      </w:r>
      <w:r w:rsidRPr="000F7A1E">
        <w:rPr>
          <w:rFonts w:asciiTheme="majorBidi" w:hAnsiTheme="majorBidi" w:cstheme="majorBidi"/>
          <w:spacing w:val="0"/>
          <w:sz w:val="32"/>
          <w:szCs w:val="32"/>
          <w:rtl/>
          <w:lang w:eastAsia="ar-SA"/>
        </w:rPr>
        <w:t>).</w:t>
      </w:r>
    </w:p>
    <w:p w:rsidR="005B3DB0" w:rsidRPr="005B3DB0" w:rsidRDefault="005B3DB0" w:rsidP="006238CE">
      <w:pPr>
        <w:bidi/>
        <w:spacing w:before="60" w:after="20" w:line="197" w:lineRule="auto"/>
        <w:ind w:firstLine="425"/>
        <w:jc w:val="both"/>
        <w:rPr>
          <w:rFonts w:cs="Simplified Arabic" w:hint="cs"/>
          <w:sz w:val="32"/>
          <w:szCs w:val="32"/>
          <w:rtl/>
        </w:rPr>
      </w:pPr>
      <w:r w:rsidRPr="005B3DB0">
        <w:rPr>
          <w:rFonts w:cs="Simplified Arabic" w:hint="cs"/>
          <w:sz w:val="32"/>
          <w:szCs w:val="32"/>
          <w:rtl/>
        </w:rPr>
        <w:t>والحقل الدلالي  يتكوّن من مجموعة من المعاني ِأو الكلمات المتقاربة التي تتميّز بوجود عناصر أو ملامح دلالية مشتركة، وبذلك تكتسب الكلمة معناها في علاقاتها  بالكلمات الأخرى، لأنَّ الكلمة لا معنى لها بمفردها،  بل إنَّ معناها يتحدّد ببحثها مع أقرب الكلمات إليها في إطار مجموعة واحدة(</w:t>
      </w:r>
      <w:r w:rsidR="006238CE">
        <w:rPr>
          <w:rStyle w:val="Appelnotedebasdep"/>
          <w:rFonts w:cs="Simplified Arabic"/>
          <w:sz w:val="32"/>
          <w:szCs w:val="32"/>
          <w:rtl/>
        </w:rPr>
        <w:footnoteReference w:id="11"/>
      </w:r>
      <w:r w:rsidRPr="005B3DB0">
        <w:rPr>
          <w:rFonts w:cs="Simplified Arabic" w:hint="cs"/>
          <w:sz w:val="32"/>
          <w:szCs w:val="32"/>
          <w:rtl/>
        </w:rPr>
        <w:t>).</w:t>
      </w:r>
    </w:p>
    <w:p w:rsidR="005B3DB0" w:rsidRPr="005B3DB0" w:rsidRDefault="005B3DB0" w:rsidP="006238CE">
      <w:pPr>
        <w:bidi/>
        <w:spacing w:before="60" w:after="20" w:line="197" w:lineRule="auto"/>
        <w:ind w:firstLine="425"/>
        <w:jc w:val="both"/>
        <w:rPr>
          <w:rFonts w:cs="Simplified Arabic" w:hint="cs"/>
          <w:sz w:val="32"/>
          <w:szCs w:val="32"/>
          <w:rtl/>
        </w:rPr>
      </w:pPr>
      <w:r w:rsidRPr="005B3DB0">
        <w:rPr>
          <w:rFonts w:cs="Simplified Arabic" w:hint="cs"/>
          <w:sz w:val="32"/>
          <w:szCs w:val="32"/>
          <w:rtl/>
        </w:rPr>
        <w:lastRenderedPageBreak/>
        <w:t>وهو ما عبّر عنه فندريس: "قائلاً:  إنَّ الذهن يميل دائماً إلى جمع الكلمات، وإلى اكتشاف عرى جديدة تجمع بينها، فالكلمات تتثّبت دائماً بعائلة لغوية"(</w:t>
      </w:r>
      <w:r w:rsidR="006238CE">
        <w:rPr>
          <w:rStyle w:val="Appelnotedebasdep"/>
          <w:rFonts w:cs="Simplified Arabic"/>
          <w:sz w:val="32"/>
          <w:szCs w:val="32"/>
          <w:rtl/>
        </w:rPr>
        <w:footnoteReference w:id="12"/>
      </w:r>
      <w:r w:rsidRPr="005B3DB0">
        <w:rPr>
          <w:rFonts w:cs="Simplified Arabic" w:hint="cs"/>
          <w:sz w:val="32"/>
          <w:szCs w:val="32"/>
          <w:rtl/>
        </w:rPr>
        <w:t>).</w:t>
      </w:r>
    </w:p>
    <w:p w:rsidR="005B3DB0" w:rsidRPr="005B3DB0" w:rsidRDefault="005B3DB0" w:rsidP="00E42879">
      <w:pPr>
        <w:bidi/>
        <w:spacing w:before="60" w:after="20" w:line="197" w:lineRule="auto"/>
        <w:ind w:firstLine="425"/>
        <w:jc w:val="both"/>
        <w:rPr>
          <w:rFonts w:cs="Simplified Arabic" w:hint="cs"/>
          <w:sz w:val="32"/>
          <w:szCs w:val="32"/>
          <w:rtl/>
        </w:rPr>
      </w:pPr>
      <w:r w:rsidRPr="005B3DB0">
        <w:rPr>
          <w:rFonts w:cs="Simplified Arabic" w:hint="cs"/>
          <w:sz w:val="32"/>
          <w:szCs w:val="32"/>
          <w:rtl/>
        </w:rPr>
        <w:t>وعلى هذا الأساس فإنَّ الكلمات لا تشكل وحدة مستقلّة، بل إنَّ بعض اللغويين يرفض وينكر أن يتمّ اكتساب اللغة في شكل  كلمات مفردة، أو يكون المتكلّم واعياً بالكلمات منعزلة أثناء عملية الكلام(</w:t>
      </w:r>
      <w:r w:rsidR="00E42879">
        <w:rPr>
          <w:rStyle w:val="Appelnotedebasdep"/>
          <w:rFonts w:cs="Simplified Arabic"/>
          <w:sz w:val="32"/>
          <w:szCs w:val="32"/>
          <w:rtl/>
        </w:rPr>
        <w:footnoteReference w:id="13"/>
      </w:r>
      <w:r w:rsidRPr="005B3DB0">
        <w:rPr>
          <w:rFonts w:cs="Simplified Arabic" w:hint="cs"/>
          <w:sz w:val="32"/>
          <w:szCs w:val="32"/>
          <w:rtl/>
        </w:rPr>
        <w:t>). وإذا بدا له ذلك في بداية الأمر، فإنَّ الاكتساب يكون انطلاقاً من تركيب مقدّر أو مضمر أو محذوف تفهم ضمنه الكلمة التي يتعلّمها الفرد.</w:t>
      </w:r>
    </w:p>
    <w:p w:rsidR="005B3DB0" w:rsidRPr="005B3DB0" w:rsidRDefault="005B3DB0" w:rsidP="005B3DB0">
      <w:pPr>
        <w:bidi/>
        <w:spacing w:before="60" w:after="20" w:line="197" w:lineRule="auto"/>
        <w:ind w:firstLine="425"/>
        <w:jc w:val="both"/>
        <w:rPr>
          <w:rFonts w:cs="Simplified Arabic" w:hint="cs"/>
          <w:sz w:val="32"/>
          <w:szCs w:val="32"/>
          <w:rtl/>
        </w:rPr>
      </w:pPr>
      <w:r w:rsidRPr="005B3DB0">
        <w:rPr>
          <w:rFonts w:cs="Simplified Arabic" w:hint="cs"/>
          <w:sz w:val="32"/>
          <w:szCs w:val="32"/>
          <w:rtl/>
        </w:rPr>
        <w:t xml:space="preserve">وتتّضح الفكرة أكثر حين تعلّم لغة أجنبية، فمهما حفظ  المرء من مفرداتها، فإنَّه يظل عاجزاً عن فهم نصوصها ومضمون خطاباتها، مالم يتزوّد بمعرفة نظامها التركيبي والنحوي والصوتي والصرفي والدلالي والأسلوبي. </w:t>
      </w:r>
    </w:p>
    <w:p w:rsidR="005B3DB0" w:rsidRPr="005B3DB0" w:rsidRDefault="005B3DB0" w:rsidP="005B3DB0">
      <w:pPr>
        <w:bidi/>
        <w:spacing w:before="60" w:after="20" w:line="197" w:lineRule="auto"/>
        <w:ind w:firstLine="425"/>
        <w:jc w:val="both"/>
        <w:rPr>
          <w:rFonts w:cs="Simplified Arabic" w:hint="cs"/>
          <w:sz w:val="32"/>
          <w:szCs w:val="32"/>
          <w:rtl/>
        </w:rPr>
      </w:pPr>
      <w:r w:rsidRPr="005B3DB0">
        <w:rPr>
          <w:rFonts w:cs="Simplified Arabic" w:hint="cs"/>
          <w:sz w:val="32"/>
          <w:szCs w:val="32"/>
          <w:rtl/>
        </w:rPr>
        <w:t>ويستشف من قول فندريس أنَّ جمع الكلمات في مجموعات يعتبر من خصائص العقل الإنساني الذي من طبيعته الميل نحو التصنيف والبحث عن العلاقة التي تكوّن أجزاء هذه المجموعة أو تلك  حتى يتسنّى لها فهمها ووضع قوانيها ثمّ الحكم عليها والاستنتاج.</w:t>
      </w:r>
    </w:p>
    <w:p w:rsidR="005B3DB0" w:rsidRPr="005B3DB0" w:rsidRDefault="005B3DB0" w:rsidP="005B3DB0">
      <w:pPr>
        <w:bidi/>
        <w:spacing w:before="60" w:after="20" w:line="197" w:lineRule="auto"/>
        <w:ind w:firstLine="425"/>
        <w:jc w:val="both"/>
        <w:rPr>
          <w:rFonts w:cs="Simplified Arabic" w:hint="cs"/>
          <w:sz w:val="32"/>
          <w:szCs w:val="32"/>
          <w:rtl/>
        </w:rPr>
      </w:pPr>
      <w:r w:rsidRPr="005B3DB0">
        <w:rPr>
          <w:rFonts w:cs="Simplified Arabic" w:hint="cs"/>
          <w:sz w:val="32"/>
          <w:szCs w:val="32"/>
          <w:rtl/>
        </w:rPr>
        <w:t xml:space="preserve">ولهذا فإنّ الجزء المعجمي المعبّر عن مجال ما في اللغة ليس نظاماً أو تشكيلاً بسيطاً مكوّناً من وحدات مستقلة، فلو كان كذلك لتمكّن الدارس أو المستعمل للغة أن يفهم هذا الجزء ويصفه في وقت معيّن. </w:t>
      </w:r>
    </w:p>
    <w:p w:rsidR="005B3DB0" w:rsidRPr="005B3DB0" w:rsidRDefault="005B3DB0" w:rsidP="003B1C8B">
      <w:pPr>
        <w:bidi/>
        <w:spacing w:before="60" w:after="20" w:line="197" w:lineRule="auto"/>
        <w:ind w:firstLine="425"/>
        <w:jc w:val="both"/>
        <w:rPr>
          <w:rFonts w:cs="Simplified Arabic" w:hint="cs"/>
          <w:sz w:val="32"/>
          <w:szCs w:val="32"/>
          <w:rtl/>
        </w:rPr>
      </w:pPr>
      <w:r w:rsidRPr="005B3DB0">
        <w:rPr>
          <w:rFonts w:cs="Simplified Arabic" w:hint="cs"/>
          <w:sz w:val="32"/>
          <w:szCs w:val="32"/>
          <w:rtl/>
        </w:rPr>
        <w:t xml:space="preserve">وبناءً على هذا الاعتبار اعتمد أصحاب نظرية الحقول الدلالية على الفكرة المنطقية التي ترى أنَّ المعاني لا توجد منعزلة  الواحدة تلو الأخرى في الذهن، ولإدراكها لابدّ من ربط  كلّ معنى منها بمعنى أو بمعان أخرى، فلفظ إنسان مثلاً يعدّ مطلقاً، وبالتالي لا يمكن أن نعقله إلاَّ بإضافته إلى حيوان، ولفظ </w:t>
      </w:r>
      <w:r w:rsidRPr="005B3DB0">
        <w:rPr>
          <w:rFonts w:cs="Simplified Arabic"/>
          <w:sz w:val="32"/>
          <w:szCs w:val="32"/>
          <w:rtl/>
        </w:rPr>
        <w:br/>
      </w:r>
      <w:r w:rsidRPr="005B3DB0">
        <w:rPr>
          <w:rFonts w:cs="Simplified Arabic" w:hint="cs"/>
          <w:sz w:val="32"/>
          <w:szCs w:val="32"/>
          <w:rtl/>
        </w:rPr>
        <w:t>رجل لا نعقله إلاَّ بإضافته إلى امرأة، ولفظ حار لا يفهم إلاَّ بمقارنته ببارد وهكذا(</w:t>
      </w:r>
      <w:r w:rsidR="003B1C8B">
        <w:rPr>
          <w:rStyle w:val="Appelnotedebasdep"/>
          <w:rFonts w:cs="Simplified Arabic"/>
          <w:sz w:val="32"/>
          <w:szCs w:val="32"/>
          <w:rtl/>
        </w:rPr>
        <w:footnoteReference w:id="14"/>
      </w:r>
      <w:r w:rsidRPr="005B3DB0">
        <w:rPr>
          <w:rFonts w:cs="Simplified Arabic" w:hint="cs"/>
          <w:sz w:val="32"/>
          <w:szCs w:val="32"/>
          <w:rtl/>
        </w:rPr>
        <w:t>).</w:t>
      </w:r>
    </w:p>
    <w:p w:rsidR="00C33B23" w:rsidRDefault="00C33B23" w:rsidP="000E178E">
      <w:pPr>
        <w:pStyle w:val="Retraitcorpsdetexte3"/>
        <w:widowControl/>
        <w:spacing w:after="20" w:line="276" w:lineRule="auto"/>
        <w:jc w:val="both"/>
        <w:rPr>
          <w:rFonts w:asciiTheme="majorBidi" w:hAnsiTheme="majorBidi" w:cstheme="majorBidi"/>
          <w:spacing w:val="0"/>
          <w:sz w:val="32"/>
          <w:szCs w:val="32"/>
          <w:lang w:eastAsia="ar-SA"/>
        </w:rPr>
      </w:pPr>
    </w:p>
    <w:p w:rsidR="00C33B23" w:rsidRDefault="00C33B23" w:rsidP="000E178E">
      <w:pPr>
        <w:pStyle w:val="Retraitcorpsdetexte3"/>
        <w:widowControl/>
        <w:spacing w:after="20" w:line="276" w:lineRule="auto"/>
        <w:jc w:val="both"/>
        <w:rPr>
          <w:rFonts w:asciiTheme="majorBidi" w:hAnsiTheme="majorBidi" w:cstheme="majorBidi"/>
          <w:spacing w:val="0"/>
          <w:sz w:val="32"/>
          <w:szCs w:val="32"/>
          <w:lang w:eastAsia="ar-SA"/>
        </w:rPr>
      </w:pPr>
    </w:p>
    <w:p w:rsidR="00C33B23" w:rsidRPr="00C33B23" w:rsidRDefault="00C33B23" w:rsidP="009955B0">
      <w:pPr>
        <w:pStyle w:val="Retraitcorpsdetexte3"/>
        <w:widowControl/>
        <w:numPr>
          <w:ilvl w:val="0"/>
          <w:numId w:val="6"/>
        </w:numPr>
        <w:spacing w:after="20" w:line="197" w:lineRule="auto"/>
        <w:jc w:val="both"/>
        <w:rPr>
          <w:rFonts w:cs="Simplified Arabic"/>
          <w:b/>
          <w:bCs/>
          <w:spacing w:val="0"/>
          <w:sz w:val="36"/>
          <w:szCs w:val="36"/>
          <w:rtl/>
          <w:lang w:eastAsia="ar-SA"/>
        </w:rPr>
      </w:pPr>
      <w:r w:rsidRPr="009955B0">
        <w:rPr>
          <w:rFonts w:cs="Simplified Arabic" w:hint="cs"/>
          <w:b/>
          <w:bCs/>
          <w:spacing w:val="0"/>
          <w:sz w:val="36"/>
          <w:szCs w:val="36"/>
          <w:u w:val="single"/>
          <w:rtl/>
          <w:lang w:eastAsia="ar-SA"/>
        </w:rPr>
        <w:lastRenderedPageBreak/>
        <w:t>ـ عناصر الكلام وتصنيفاتها النحوية.</w:t>
      </w:r>
    </w:p>
    <w:p w:rsidR="00C33B23" w:rsidRPr="00C33B23" w:rsidRDefault="00C33B23" w:rsidP="00C33B23">
      <w:pPr>
        <w:bidi/>
        <w:spacing w:before="60" w:after="20" w:line="197" w:lineRule="auto"/>
        <w:ind w:firstLine="425"/>
        <w:jc w:val="lowKashida"/>
        <w:rPr>
          <w:rFonts w:cs="Simplified Arabic" w:hint="cs"/>
          <w:sz w:val="32"/>
          <w:szCs w:val="32"/>
          <w:rtl/>
        </w:rPr>
      </w:pPr>
      <w:r w:rsidRPr="00C33B23">
        <w:rPr>
          <w:rFonts w:cs="Simplified Arabic" w:hint="cs"/>
          <w:b/>
          <w:bCs/>
          <w:sz w:val="32"/>
          <w:szCs w:val="32"/>
          <w:rtl/>
        </w:rPr>
        <w:t xml:space="preserve">4 ـ الحقول التركيبية: </w:t>
      </w:r>
      <w:r w:rsidRPr="00C33B23">
        <w:rPr>
          <w:rFonts w:cs="Simplified Arabic" w:hint="cs"/>
          <w:sz w:val="32"/>
          <w:szCs w:val="32"/>
          <w:rtl/>
        </w:rPr>
        <w:t>وتشمل مجموع الكلمات التي ترتبط فيما بينها عن طريق الاستعمال، ولكنّها لا تقع في الموقع النحوي نفسه، وكان "</w:t>
      </w:r>
      <w:r w:rsidRPr="00C33B23">
        <w:rPr>
          <w:rFonts w:cs="Simplified Arabic" w:hint="cs"/>
          <w:b/>
          <w:bCs/>
          <w:sz w:val="32"/>
          <w:szCs w:val="32"/>
          <w:rtl/>
        </w:rPr>
        <w:t>بورزيغ</w:t>
      </w:r>
      <w:r w:rsidRPr="00C33B23">
        <w:rPr>
          <w:rFonts w:cs="Simplified Arabic" w:hint="cs"/>
          <w:sz w:val="32"/>
          <w:szCs w:val="32"/>
          <w:rtl/>
        </w:rPr>
        <w:t xml:space="preserve">" </w:t>
      </w:r>
      <w:r w:rsidRPr="00C33B23">
        <w:rPr>
          <w:rFonts w:cs="Simplified Arabic"/>
          <w:b/>
          <w:bCs/>
          <w:sz w:val="32"/>
          <w:szCs w:val="32"/>
        </w:rPr>
        <w:t>(W.PORZIG</w:t>
      </w:r>
      <w:r w:rsidRPr="00C33B23">
        <w:rPr>
          <w:rFonts w:cs="Simplified Arabic"/>
          <w:sz w:val="32"/>
          <w:szCs w:val="32"/>
        </w:rPr>
        <w:t>)</w:t>
      </w:r>
      <w:r w:rsidRPr="00C33B23">
        <w:rPr>
          <w:rFonts w:cs="Simplified Arabic" w:hint="cs"/>
          <w:sz w:val="32"/>
          <w:szCs w:val="32"/>
          <w:rtl/>
        </w:rPr>
        <w:t xml:space="preserve"> أوّل من درس هذه الحقول إذ اهتمّ بالكلمات الآتية: </w:t>
      </w:r>
    </w:p>
    <w:p w:rsidR="00C33B23" w:rsidRPr="00F95FBA" w:rsidRDefault="00C33B23" w:rsidP="00F95FBA">
      <w:pPr>
        <w:bidi/>
        <w:spacing w:before="60" w:after="20" w:line="197" w:lineRule="auto"/>
        <w:ind w:firstLine="425"/>
        <w:jc w:val="center"/>
        <w:rPr>
          <w:rFonts w:cs="Simplified Arabic" w:hint="cs"/>
          <w:b/>
          <w:bCs/>
          <w:sz w:val="32"/>
          <w:szCs w:val="32"/>
          <w:rtl/>
        </w:rPr>
      </w:pPr>
      <w:r w:rsidRPr="00F95FBA">
        <w:rPr>
          <w:rFonts w:cs="Simplified Arabic" w:hint="cs"/>
          <w:b/>
          <w:bCs/>
          <w:sz w:val="32"/>
          <w:szCs w:val="32"/>
          <w:rtl/>
        </w:rPr>
        <w:t xml:space="preserve">كلب ـ نباح </w:t>
      </w:r>
      <w:r w:rsidRPr="00F95FBA">
        <w:rPr>
          <w:rFonts w:cs="Simplified Arabic"/>
          <w:b/>
          <w:bCs/>
          <w:sz w:val="32"/>
          <w:szCs w:val="32"/>
          <w:rtl/>
        </w:rPr>
        <w:tab/>
      </w:r>
      <w:r w:rsidRPr="00F95FBA">
        <w:rPr>
          <w:rFonts w:cs="Simplified Arabic"/>
          <w:b/>
          <w:bCs/>
          <w:sz w:val="32"/>
          <w:szCs w:val="32"/>
          <w:rtl/>
        </w:rPr>
        <w:tab/>
      </w:r>
      <w:r w:rsidRPr="00F95FBA">
        <w:rPr>
          <w:rFonts w:cs="Simplified Arabic" w:hint="cs"/>
          <w:b/>
          <w:bCs/>
          <w:sz w:val="32"/>
          <w:szCs w:val="32"/>
          <w:rtl/>
        </w:rPr>
        <w:t xml:space="preserve"> طعام ـ يُقدّم </w:t>
      </w:r>
      <w:r w:rsidRPr="00F95FBA">
        <w:rPr>
          <w:rFonts w:cs="Simplified Arabic" w:hint="cs"/>
          <w:b/>
          <w:bCs/>
          <w:sz w:val="32"/>
          <w:szCs w:val="32"/>
          <w:rtl/>
        </w:rPr>
        <w:tab/>
      </w:r>
      <w:r w:rsidRPr="00F95FBA">
        <w:rPr>
          <w:rFonts w:cs="Simplified Arabic"/>
          <w:b/>
          <w:bCs/>
          <w:sz w:val="32"/>
          <w:szCs w:val="32"/>
          <w:rtl/>
        </w:rPr>
        <w:tab/>
      </w:r>
      <w:r w:rsidRPr="00F95FBA">
        <w:rPr>
          <w:rFonts w:cs="Simplified Arabic" w:hint="cs"/>
          <w:b/>
          <w:bCs/>
          <w:sz w:val="32"/>
          <w:szCs w:val="32"/>
          <w:rtl/>
        </w:rPr>
        <w:t>يرى ـ عين</w:t>
      </w:r>
    </w:p>
    <w:p w:rsidR="00C33B23" w:rsidRPr="00F95FBA" w:rsidRDefault="00C33B23" w:rsidP="00F95FBA">
      <w:pPr>
        <w:bidi/>
        <w:spacing w:before="60" w:after="20" w:line="197" w:lineRule="auto"/>
        <w:ind w:firstLine="425"/>
        <w:jc w:val="center"/>
        <w:rPr>
          <w:rFonts w:cs="Simplified Arabic" w:hint="cs"/>
          <w:b/>
          <w:bCs/>
          <w:sz w:val="32"/>
          <w:szCs w:val="32"/>
          <w:rtl/>
        </w:rPr>
      </w:pPr>
      <w:r w:rsidRPr="00F95FBA">
        <w:rPr>
          <w:rFonts w:cs="Simplified Arabic" w:hint="cs"/>
          <w:b/>
          <w:bCs/>
          <w:sz w:val="32"/>
          <w:szCs w:val="32"/>
          <w:rtl/>
        </w:rPr>
        <w:t xml:space="preserve">فرس ـ صهيل </w:t>
      </w:r>
      <w:r w:rsidRPr="00F95FBA">
        <w:rPr>
          <w:rFonts w:cs="Simplified Arabic" w:hint="cs"/>
          <w:b/>
          <w:bCs/>
          <w:sz w:val="32"/>
          <w:szCs w:val="32"/>
          <w:rtl/>
        </w:rPr>
        <w:tab/>
      </w:r>
      <w:r w:rsidRPr="00F95FBA">
        <w:rPr>
          <w:rFonts w:cs="Simplified Arabic"/>
          <w:b/>
          <w:bCs/>
          <w:sz w:val="32"/>
          <w:szCs w:val="32"/>
          <w:rtl/>
        </w:rPr>
        <w:tab/>
      </w:r>
      <w:r w:rsidRPr="00F95FBA">
        <w:rPr>
          <w:rFonts w:cs="Simplified Arabic" w:hint="cs"/>
          <w:b/>
          <w:bCs/>
          <w:sz w:val="32"/>
          <w:szCs w:val="32"/>
          <w:rtl/>
        </w:rPr>
        <w:t xml:space="preserve"> يمشي ـ يَتقدّم </w:t>
      </w:r>
      <w:r w:rsidRPr="00F95FBA">
        <w:rPr>
          <w:rFonts w:cs="Simplified Arabic"/>
          <w:b/>
          <w:bCs/>
          <w:sz w:val="32"/>
          <w:szCs w:val="32"/>
          <w:rtl/>
        </w:rPr>
        <w:tab/>
      </w:r>
      <w:r w:rsidRPr="00F95FBA">
        <w:rPr>
          <w:rFonts w:cs="Simplified Arabic" w:hint="cs"/>
          <w:b/>
          <w:bCs/>
          <w:sz w:val="32"/>
          <w:szCs w:val="32"/>
          <w:rtl/>
        </w:rPr>
        <w:tab/>
        <w:t xml:space="preserve"> يسمع ـ أذن</w:t>
      </w:r>
    </w:p>
    <w:p w:rsidR="00C33B23" w:rsidRPr="00C33B23" w:rsidRDefault="00C33B23" w:rsidP="00185A02">
      <w:pPr>
        <w:bidi/>
        <w:spacing w:before="60" w:after="20" w:line="197" w:lineRule="auto"/>
        <w:ind w:firstLine="425"/>
        <w:jc w:val="center"/>
        <w:rPr>
          <w:rFonts w:cs="Simplified Arabic" w:hint="cs"/>
          <w:sz w:val="32"/>
          <w:szCs w:val="32"/>
          <w:rtl/>
        </w:rPr>
      </w:pPr>
      <w:r w:rsidRPr="00F95FBA">
        <w:rPr>
          <w:rFonts w:cs="Simplified Arabic" w:hint="cs"/>
          <w:b/>
          <w:bCs/>
          <w:sz w:val="32"/>
          <w:szCs w:val="32"/>
          <w:rtl/>
        </w:rPr>
        <w:t>زهرة ـ تفتح</w:t>
      </w:r>
      <w:r w:rsidRPr="00F95FBA">
        <w:rPr>
          <w:rFonts w:cs="Simplified Arabic" w:hint="cs"/>
          <w:b/>
          <w:bCs/>
          <w:sz w:val="32"/>
          <w:szCs w:val="32"/>
          <w:rtl/>
        </w:rPr>
        <w:tab/>
      </w:r>
      <w:r w:rsidRPr="00F95FBA">
        <w:rPr>
          <w:rFonts w:cs="Simplified Arabic"/>
          <w:b/>
          <w:bCs/>
          <w:sz w:val="32"/>
          <w:szCs w:val="32"/>
          <w:rtl/>
        </w:rPr>
        <w:tab/>
      </w:r>
      <w:r w:rsidRPr="00F95FBA">
        <w:rPr>
          <w:rFonts w:cs="Simplified Arabic" w:hint="cs"/>
          <w:b/>
          <w:bCs/>
          <w:sz w:val="32"/>
          <w:szCs w:val="32"/>
          <w:rtl/>
        </w:rPr>
        <w:t>ينتقل ـ سيارة</w:t>
      </w:r>
      <w:r w:rsidRPr="00F95FBA">
        <w:rPr>
          <w:rFonts w:cs="Simplified Arabic" w:hint="cs"/>
          <w:b/>
          <w:bCs/>
          <w:sz w:val="32"/>
          <w:szCs w:val="32"/>
          <w:rtl/>
        </w:rPr>
        <w:tab/>
      </w:r>
      <w:r w:rsidRPr="00F95FBA">
        <w:rPr>
          <w:rFonts w:cs="Simplified Arabic"/>
          <w:b/>
          <w:bCs/>
          <w:sz w:val="32"/>
          <w:szCs w:val="32"/>
          <w:rtl/>
        </w:rPr>
        <w:tab/>
      </w:r>
      <w:r w:rsidRPr="00F95FBA">
        <w:rPr>
          <w:rFonts w:cs="Simplified Arabic" w:hint="cs"/>
          <w:b/>
          <w:bCs/>
          <w:sz w:val="32"/>
          <w:szCs w:val="32"/>
          <w:rtl/>
        </w:rPr>
        <w:t>أشقرـ شعر(</w:t>
      </w:r>
      <w:r w:rsidR="00185A02">
        <w:rPr>
          <w:rStyle w:val="Appelnotedebasdep"/>
          <w:rFonts w:cs="Simplified Arabic"/>
          <w:b/>
          <w:bCs/>
          <w:sz w:val="32"/>
          <w:szCs w:val="32"/>
          <w:rtl/>
        </w:rPr>
        <w:footnoteReference w:id="15"/>
      </w:r>
      <w:r w:rsidRPr="00F95FBA">
        <w:rPr>
          <w:rFonts w:cs="Simplified Arabic" w:hint="cs"/>
          <w:b/>
          <w:bCs/>
          <w:sz w:val="32"/>
          <w:szCs w:val="32"/>
          <w:rtl/>
        </w:rPr>
        <w:t>).</w:t>
      </w:r>
    </w:p>
    <w:p w:rsidR="00C33B23" w:rsidRPr="00C33B23" w:rsidRDefault="00C33B23" w:rsidP="00C33B23">
      <w:pPr>
        <w:bidi/>
        <w:spacing w:before="60" w:after="20" w:line="197" w:lineRule="auto"/>
        <w:ind w:firstLine="425"/>
        <w:jc w:val="lowKashida"/>
        <w:rPr>
          <w:rFonts w:cs="Simplified Arabic" w:hint="cs"/>
          <w:sz w:val="32"/>
          <w:szCs w:val="32"/>
          <w:rtl/>
        </w:rPr>
      </w:pPr>
      <w:r w:rsidRPr="00C33B23">
        <w:rPr>
          <w:rFonts w:cs="Simplified Arabic" w:hint="cs"/>
          <w:sz w:val="32"/>
          <w:szCs w:val="32"/>
          <w:rtl/>
        </w:rPr>
        <w:t xml:space="preserve">وواضح ممّا ذكر أنَّ العلاقة بين هذه الكلمات لا يمكن أن تكون مع غيرها، فنباح يطلق على الكلب فقط، بينما الصهيل لا  يكون إلاَّ للفرس والحصان، ولعل هذا البحث ذو صلة بالتحليل المؤلفاتي لمعاني الألفاظ ولذلك لا يمكن أن تركّب كلمة سيارة، مع يسمع على أساس أنَّها فاعل ليسمع. </w:t>
      </w:r>
    </w:p>
    <w:p w:rsidR="00C33B23" w:rsidRPr="00185A02" w:rsidRDefault="00C33B23" w:rsidP="00185A02">
      <w:pPr>
        <w:pStyle w:val="Paragraphedeliste"/>
        <w:numPr>
          <w:ilvl w:val="0"/>
          <w:numId w:val="6"/>
        </w:numPr>
        <w:bidi/>
        <w:spacing w:before="60" w:after="20" w:line="197" w:lineRule="auto"/>
        <w:jc w:val="lowKashida"/>
        <w:rPr>
          <w:rFonts w:cs="Simplified Arabic"/>
          <w:sz w:val="32"/>
          <w:szCs w:val="32"/>
          <w:rtl/>
        </w:rPr>
      </w:pPr>
      <w:r w:rsidRPr="00185A02">
        <w:rPr>
          <w:rFonts w:cs="Simplified Arabic" w:hint="cs"/>
          <w:b/>
          <w:bCs/>
          <w:sz w:val="32"/>
          <w:szCs w:val="32"/>
          <w:rtl/>
        </w:rPr>
        <w:t xml:space="preserve"> ـ الحقول المتدرجة الدلالة</w:t>
      </w:r>
      <w:r w:rsidRPr="00185A02">
        <w:rPr>
          <w:rFonts w:cs="Simplified Arabic" w:hint="cs"/>
          <w:sz w:val="32"/>
          <w:szCs w:val="32"/>
          <w:rtl/>
        </w:rPr>
        <w:t>، وهي التي تكون فيها العلاقة متدرّجة بين الكلمات،  فقد ترد من الأعلى إلى الأسفل، أو العكس أو تربط بين بناها قرابة دلالية، فجسم الإنسان كمفهوم عام يتجزّأ وينقسم إلى مفاهيم صغيرة (الرأس ـ الصدر ـ البطن ـ الأطراف العلوية ـ الأطراف السفلية)، ثمّ يتجزّأ كل منها إلى مفاهيم صغرى، فأصغر الأطراف العلوية مثلاً (اليد، الرسغ، الساعد، العضد)، واليد (الكف، الراح، الأصابع)، وهكذا...(</w:t>
      </w:r>
      <w:r w:rsidR="00185A02">
        <w:rPr>
          <w:rStyle w:val="Appelnotedebasdep"/>
          <w:rFonts w:cs="Simplified Arabic"/>
          <w:sz w:val="32"/>
          <w:szCs w:val="32"/>
          <w:rtl/>
        </w:rPr>
        <w:footnoteReference w:id="16"/>
      </w:r>
      <w:r w:rsidRPr="00185A02">
        <w:rPr>
          <w:rFonts w:cs="Simplified Arabic" w:hint="cs"/>
          <w:sz w:val="32"/>
          <w:szCs w:val="32"/>
          <w:rtl/>
        </w:rPr>
        <w:t>).</w:t>
      </w:r>
    </w:p>
    <w:p w:rsidR="00C33B23" w:rsidRDefault="00C33B23" w:rsidP="000E178E">
      <w:pPr>
        <w:pStyle w:val="Retraitcorpsdetexte3"/>
        <w:widowControl/>
        <w:spacing w:after="20" w:line="276" w:lineRule="auto"/>
        <w:jc w:val="both"/>
        <w:rPr>
          <w:rFonts w:asciiTheme="majorBidi" w:hAnsiTheme="majorBidi" w:cstheme="majorBidi"/>
          <w:spacing w:val="0"/>
          <w:sz w:val="32"/>
          <w:szCs w:val="32"/>
          <w:rtl/>
          <w:lang w:eastAsia="ar-SA"/>
        </w:rPr>
      </w:pPr>
    </w:p>
    <w:p w:rsidR="00FC347D" w:rsidRDefault="00FC347D" w:rsidP="00FC347D">
      <w:pPr>
        <w:pStyle w:val="Retraitcorpsdetexte3"/>
        <w:widowControl/>
        <w:spacing w:after="20" w:line="197" w:lineRule="auto"/>
        <w:jc w:val="both"/>
        <w:rPr>
          <w:rFonts w:asciiTheme="majorBidi" w:hAnsiTheme="majorBidi" w:cstheme="majorBidi"/>
          <w:spacing w:val="0"/>
          <w:sz w:val="32"/>
          <w:szCs w:val="32"/>
          <w:rtl/>
          <w:lang w:eastAsia="ar-SA"/>
        </w:rPr>
      </w:pPr>
    </w:p>
    <w:p w:rsidR="00FC347D" w:rsidRDefault="00FC347D" w:rsidP="00FC347D">
      <w:pPr>
        <w:pStyle w:val="Retraitcorpsdetexte3"/>
        <w:widowControl/>
        <w:spacing w:after="20" w:line="197" w:lineRule="auto"/>
        <w:jc w:val="both"/>
        <w:rPr>
          <w:rFonts w:asciiTheme="majorBidi" w:hAnsiTheme="majorBidi" w:cstheme="majorBidi"/>
          <w:spacing w:val="0"/>
          <w:sz w:val="32"/>
          <w:szCs w:val="32"/>
          <w:rtl/>
          <w:lang w:eastAsia="ar-SA"/>
        </w:rPr>
      </w:pPr>
    </w:p>
    <w:p w:rsidR="00FC347D" w:rsidRDefault="00FC347D" w:rsidP="00FC347D">
      <w:pPr>
        <w:pStyle w:val="Retraitcorpsdetexte3"/>
        <w:widowControl/>
        <w:spacing w:after="20" w:line="197" w:lineRule="auto"/>
        <w:jc w:val="both"/>
        <w:rPr>
          <w:rFonts w:asciiTheme="majorBidi" w:hAnsiTheme="majorBidi" w:cstheme="majorBidi"/>
          <w:spacing w:val="0"/>
          <w:sz w:val="32"/>
          <w:szCs w:val="32"/>
          <w:rtl/>
          <w:lang w:eastAsia="ar-SA"/>
        </w:rPr>
      </w:pPr>
    </w:p>
    <w:p w:rsidR="00FC347D" w:rsidRPr="000F7A1E" w:rsidRDefault="00FC347D" w:rsidP="00FC347D">
      <w:pPr>
        <w:pStyle w:val="Retraitcorpsdetexte3"/>
        <w:widowControl/>
        <w:spacing w:after="20" w:line="197" w:lineRule="auto"/>
        <w:jc w:val="both"/>
        <w:rPr>
          <w:rFonts w:asciiTheme="majorBidi" w:hAnsiTheme="majorBidi" w:cstheme="majorBidi"/>
          <w:spacing w:val="0"/>
          <w:sz w:val="32"/>
          <w:szCs w:val="32"/>
          <w:rtl/>
          <w:lang w:eastAsia="ar-SA"/>
        </w:rPr>
      </w:pPr>
    </w:p>
    <w:p w:rsidR="005D5DC6" w:rsidRDefault="005D5DC6"/>
    <w:sectPr w:rsidR="005D5DC6" w:rsidSect="005D5DC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AFA" w:rsidRDefault="005D1AFA" w:rsidP="00FC347D">
      <w:pPr>
        <w:spacing w:after="0" w:line="240" w:lineRule="auto"/>
      </w:pPr>
      <w:r>
        <w:separator/>
      </w:r>
    </w:p>
  </w:endnote>
  <w:endnote w:type="continuationSeparator" w:id="1">
    <w:p w:rsidR="005D1AFA" w:rsidRDefault="005D1AFA" w:rsidP="00FC3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CS Jeddah S_U norm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Arabic-Bold-Identity-">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Arabic-Identity-H">
    <w:panose1 w:val="00000000000000000000"/>
    <w:charset w:val="B2"/>
    <w:family w:val="auto"/>
    <w:notTrueType/>
    <w:pitch w:val="default"/>
    <w:sig w:usb0="00002001" w:usb1="00000000" w:usb2="00000000" w:usb3="00000000" w:csb0="00000040" w:csb1="00000000"/>
  </w:font>
  <w:font w:name="TraditionalArabic-Identity-H">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2063"/>
      <w:docPartObj>
        <w:docPartGallery w:val="Page Numbers (Bottom of Page)"/>
        <w:docPartUnique/>
      </w:docPartObj>
    </w:sdtPr>
    <w:sdtContent>
      <w:p w:rsidR="00D63B19" w:rsidRDefault="00D63B19">
        <w:pPr>
          <w:pStyle w:val="Pieddepage"/>
          <w:jc w:val="center"/>
        </w:pPr>
        <w:fldSimple w:instr=" PAGE   \* MERGEFORMAT ">
          <w:r w:rsidR="00185A02">
            <w:rPr>
              <w:noProof/>
            </w:rPr>
            <w:t>5</w:t>
          </w:r>
        </w:fldSimple>
      </w:p>
    </w:sdtContent>
  </w:sdt>
  <w:p w:rsidR="00D63B19" w:rsidRDefault="00D63B1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AFA" w:rsidRDefault="005D1AFA" w:rsidP="00FC347D">
      <w:pPr>
        <w:spacing w:after="0" w:line="240" w:lineRule="auto"/>
      </w:pPr>
      <w:r>
        <w:separator/>
      </w:r>
    </w:p>
  </w:footnote>
  <w:footnote w:type="continuationSeparator" w:id="1">
    <w:p w:rsidR="005D1AFA" w:rsidRDefault="005D1AFA" w:rsidP="00FC347D">
      <w:pPr>
        <w:spacing w:after="0" w:line="240" w:lineRule="auto"/>
      </w:pPr>
      <w:r>
        <w:continuationSeparator/>
      </w:r>
    </w:p>
  </w:footnote>
  <w:footnote w:id="2">
    <w:p w:rsidR="00FC347D" w:rsidRPr="00C33B23" w:rsidRDefault="00FC347D" w:rsidP="00FC347D">
      <w:pPr>
        <w:pStyle w:val="Notedebasdepage"/>
        <w:bidi/>
        <w:rPr>
          <w:rFonts w:asciiTheme="majorBidi" w:hAnsiTheme="majorBidi" w:cstheme="majorBidi"/>
          <w:b/>
          <w:bCs/>
          <w:i/>
          <w:iCs/>
          <w:sz w:val="28"/>
          <w:szCs w:val="28"/>
          <w:rtl/>
        </w:rPr>
      </w:pPr>
      <w:r w:rsidRPr="00C33B23">
        <w:rPr>
          <w:rStyle w:val="Appelnotedebasdep"/>
          <w:rFonts w:asciiTheme="majorBidi" w:hAnsiTheme="majorBidi" w:cstheme="majorBidi"/>
          <w:b/>
          <w:bCs/>
          <w:sz w:val="28"/>
          <w:szCs w:val="28"/>
        </w:rPr>
        <w:footnoteRef/>
      </w:r>
      <w:r w:rsidRPr="00C33B23">
        <w:rPr>
          <w:rFonts w:asciiTheme="majorBidi" w:hAnsiTheme="majorBidi" w:cstheme="majorBidi"/>
          <w:b/>
          <w:bCs/>
          <w:sz w:val="28"/>
          <w:szCs w:val="28"/>
        </w:rPr>
        <w:t xml:space="preserve"> </w:t>
      </w:r>
      <w:r w:rsidRPr="00C33B23">
        <w:rPr>
          <w:rFonts w:asciiTheme="majorBidi" w:hAnsiTheme="majorBidi" w:cstheme="majorBidi"/>
          <w:b/>
          <w:bCs/>
          <w:sz w:val="28"/>
          <w:szCs w:val="28"/>
          <w:rtl/>
        </w:rPr>
        <w:t xml:space="preserve">- </w:t>
      </w:r>
      <w:r w:rsidRPr="00C33B23">
        <w:rPr>
          <w:rFonts w:asciiTheme="majorBidi" w:hAnsiTheme="majorBidi" w:cstheme="majorBidi"/>
          <w:b/>
          <w:bCs/>
          <w:i/>
          <w:iCs/>
          <w:sz w:val="28"/>
          <w:szCs w:val="28"/>
        </w:rPr>
        <w:t>(1)- Voir, Francis Vanoy, Expression et Communication, p: 35</w:t>
      </w:r>
    </w:p>
    <w:p w:rsidR="00FC347D" w:rsidRPr="00C33B23" w:rsidRDefault="00FC347D" w:rsidP="00FC347D">
      <w:pPr>
        <w:pStyle w:val="Notedebasdepage"/>
        <w:bidi/>
        <w:rPr>
          <w:rFonts w:asciiTheme="majorBidi" w:hAnsiTheme="majorBidi" w:cstheme="majorBidi"/>
          <w:b/>
          <w:bCs/>
          <w:sz w:val="28"/>
          <w:szCs w:val="28"/>
          <w:rtl/>
          <w:lang w:bidi="ar-DZ"/>
        </w:rPr>
      </w:pPr>
    </w:p>
  </w:footnote>
  <w:footnote w:id="3">
    <w:p w:rsidR="00FC347D" w:rsidRPr="00C33B23" w:rsidRDefault="00FC347D" w:rsidP="00FC347D">
      <w:pPr>
        <w:pStyle w:val="Notedebasdepage"/>
        <w:bidi/>
        <w:rPr>
          <w:rFonts w:asciiTheme="majorBidi" w:hAnsiTheme="majorBidi" w:cstheme="majorBidi"/>
          <w:b/>
          <w:bCs/>
          <w:sz w:val="28"/>
          <w:szCs w:val="28"/>
          <w:rtl/>
          <w:lang w:bidi="ar-DZ"/>
        </w:rPr>
      </w:pPr>
      <w:r w:rsidRPr="00C33B23">
        <w:rPr>
          <w:rStyle w:val="Appelnotedebasdep"/>
          <w:rFonts w:asciiTheme="majorBidi" w:hAnsiTheme="majorBidi" w:cstheme="majorBidi"/>
          <w:b/>
          <w:bCs/>
          <w:sz w:val="28"/>
          <w:szCs w:val="28"/>
        </w:rPr>
        <w:footnoteRef/>
      </w:r>
      <w:r w:rsidRPr="00C33B23">
        <w:rPr>
          <w:rFonts w:asciiTheme="majorBidi" w:hAnsiTheme="majorBidi" w:cstheme="majorBidi"/>
          <w:b/>
          <w:bCs/>
          <w:sz w:val="28"/>
          <w:szCs w:val="28"/>
        </w:rPr>
        <w:t xml:space="preserve"> </w:t>
      </w:r>
      <w:r w:rsidRPr="00C33B23">
        <w:rPr>
          <w:rFonts w:asciiTheme="majorBidi" w:hAnsiTheme="majorBidi" w:cstheme="majorBidi"/>
          <w:b/>
          <w:bCs/>
          <w:sz w:val="28"/>
          <w:szCs w:val="28"/>
          <w:rtl/>
          <w:lang w:bidi="ar-DZ"/>
        </w:rPr>
        <w:t xml:space="preserve">- </w:t>
      </w:r>
      <w:r w:rsidRPr="00C33B23">
        <w:rPr>
          <w:rFonts w:asciiTheme="majorBidi" w:hAnsiTheme="majorBidi" w:cstheme="majorBidi"/>
          <w:b/>
          <w:bCs/>
          <w:i/>
          <w:iCs/>
          <w:sz w:val="28"/>
          <w:szCs w:val="28"/>
        </w:rPr>
        <w:t xml:space="preserve"> Voir, R. H. Robis , Linguistique générale, une Introduction, p: 70-</w:t>
      </w:r>
    </w:p>
  </w:footnote>
  <w:footnote w:id="4">
    <w:p w:rsidR="00FC347D" w:rsidRPr="00C33B23" w:rsidRDefault="00FC347D" w:rsidP="00FC347D">
      <w:pPr>
        <w:pStyle w:val="Notedebasdepage"/>
        <w:bidi/>
        <w:rPr>
          <w:rFonts w:asciiTheme="majorBidi" w:hAnsiTheme="majorBidi" w:cstheme="majorBidi"/>
          <w:b/>
          <w:bCs/>
          <w:sz w:val="28"/>
          <w:szCs w:val="28"/>
          <w:rtl/>
          <w:lang w:bidi="ar-DZ"/>
        </w:rPr>
      </w:pPr>
      <w:r w:rsidRPr="00C33B23">
        <w:rPr>
          <w:rStyle w:val="Appelnotedebasdep"/>
          <w:rFonts w:asciiTheme="majorBidi" w:hAnsiTheme="majorBidi" w:cstheme="majorBidi"/>
          <w:b/>
          <w:bCs/>
          <w:sz w:val="28"/>
          <w:szCs w:val="28"/>
        </w:rPr>
        <w:footnoteRef/>
      </w:r>
      <w:r w:rsidRPr="00C33B23">
        <w:rPr>
          <w:rFonts w:asciiTheme="majorBidi" w:hAnsiTheme="majorBidi" w:cstheme="majorBidi"/>
          <w:b/>
          <w:bCs/>
          <w:sz w:val="28"/>
          <w:szCs w:val="28"/>
        </w:rPr>
        <w:t xml:space="preserve"> </w:t>
      </w:r>
      <w:r w:rsidRPr="00C33B23">
        <w:rPr>
          <w:rFonts w:asciiTheme="majorBidi" w:hAnsiTheme="majorBidi" w:cstheme="majorBidi"/>
          <w:b/>
          <w:bCs/>
          <w:sz w:val="28"/>
          <w:szCs w:val="28"/>
          <w:rtl/>
        </w:rPr>
        <w:t>-</w:t>
      </w:r>
      <w:r w:rsidRPr="00C33B23">
        <w:rPr>
          <w:rFonts w:asciiTheme="majorBidi" w:hAnsiTheme="majorBidi" w:cstheme="majorBidi"/>
          <w:b/>
          <w:bCs/>
          <w:i/>
          <w:iCs/>
          <w:sz w:val="28"/>
          <w:szCs w:val="28"/>
        </w:rPr>
        <w:t>)- Voir, Jacqeline Picoche, Précis de communication Francaisep: 44- 45</w:t>
      </w:r>
    </w:p>
  </w:footnote>
  <w:footnote w:id="5">
    <w:p w:rsidR="00FC347D" w:rsidRPr="00C33B23" w:rsidRDefault="00FC347D" w:rsidP="00FC347D">
      <w:pPr>
        <w:pStyle w:val="Notedebasdepage"/>
        <w:bidi/>
        <w:rPr>
          <w:rFonts w:asciiTheme="majorBidi" w:hAnsiTheme="majorBidi" w:cstheme="majorBidi"/>
          <w:b/>
          <w:bCs/>
          <w:sz w:val="28"/>
          <w:szCs w:val="28"/>
          <w:rtl/>
          <w:lang w:bidi="ar-DZ"/>
        </w:rPr>
      </w:pPr>
      <w:r w:rsidRPr="00C33B23">
        <w:rPr>
          <w:rStyle w:val="Appelnotedebasdep"/>
          <w:rFonts w:asciiTheme="majorBidi" w:hAnsiTheme="majorBidi" w:cstheme="majorBidi"/>
          <w:b/>
          <w:bCs/>
          <w:sz w:val="28"/>
          <w:szCs w:val="28"/>
        </w:rPr>
        <w:footnoteRef/>
      </w:r>
      <w:r w:rsidRPr="00C33B23">
        <w:rPr>
          <w:rFonts w:asciiTheme="majorBidi" w:hAnsiTheme="majorBidi" w:cstheme="majorBidi"/>
          <w:b/>
          <w:bCs/>
          <w:sz w:val="28"/>
          <w:szCs w:val="28"/>
        </w:rPr>
        <w:t xml:space="preserve"> </w:t>
      </w:r>
      <w:r w:rsidRPr="00C33B23">
        <w:rPr>
          <w:rFonts w:asciiTheme="majorBidi" w:hAnsiTheme="majorBidi" w:cstheme="majorBidi"/>
          <w:b/>
          <w:bCs/>
          <w:sz w:val="28"/>
          <w:szCs w:val="28"/>
          <w:rtl/>
          <w:lang w:bidi="ar-DZ"/>
        </w:rPr>
        <w:t>-</w:t>
      </w:r>
      <w:r w:rsidRPr="00C33B23">
        <w:rPr>
          <w:rFonts w:asciiTheme="majorBidi" w:hAnsiTheme="majorBidi" w:cstheme="majorBidi"/>
          <w:b/>
          <w:bCs/>
          <w:i/>
          <w:iCs/>
          <w:sz w:val="28"/>
          <w:szCs w:val="28"/>
          <w:rtl/>
        </w:rPr>
        <w:t xml:space="preserve"> ينظر محمد المبارك، فقه اللغة وخصائص العربية، ص: 307</w:t>
      </w:r>
    </w:p>
  </w:footnote>
  <w:footnote w:id="6">
    <w:p w:rsidR="00FC347D" w:rsidRPr="00C33B23" w:rsidRDefault="00FC347D" w:rsidP="00FC347D">
      <w:pPr>
        <w:pStyle w:val="Notedebasdepage"/>
        <w:bidi/>
        <w:rPr>
          <w:rFonts w:asciiTheme="majorBidi" w:hAnsiTheme="majorBidi" w:cstheme="majorBidi"/>
          <w:b/>
          <w:bCs/>
          <w:sz w:val="28"/>
          <w:szCs w:val="28"/>
          <w:rtl/>
          <w:lang w:bidi="ar-DZ"/>
        </w:rPr>
      </w:pPr>
      <w:r w:rsidRPr="00C33B23">
        <w:rPr>
          <w:rStyle w:val="Appelnotedebasdep"/>
          <w:rFonts w:asciiTheme="majorBidi" w:hAnsiTheme="majorBidi" w:cstheme="majorBidi"/>
          <w:b/>
          <w:bCs/>
          <w:sz w:val="28"/>
          <w:szCs w:val="28"/>
        </w:rPr>
        <w:footnoteRef/>
      </w:r>
      <w:r w:rsidRPr="00C33B23">
        <w:rPr>
          <w:rFonts w:asciiTheme="majorBidi" w:hAnsiTheme="majorBidi" w:cstheme="majorBidi"/>
          <w:b/>
          <w:bCs/>
          <w:sz w:val="28"/>
          <w:szCs w:val="28"/>
        </w:rPr>
        <w:t xml:space="preserve"> </w:t>
      </w:r>
      <w:r w:rsidRPr="00C33B23">
        <w:rPr>
          <w:rFonts w:asciiTheme="majorBidi" w:hAnsiTheme="majorBidi" w:cstheme="majorBidi"/>
          <w:b/>
          <w:bCs/>
          <w:sz w:val="28"/>
          <w:szCs w:val="28"/>
          <w:rtl/>
          <w:lang w:bidi="ar-DZ"/>
        </w:rPr>
        <w:t>-</w:t>
      </w:r>
      <w:r w:rsidRPr="00C33B23">
        <w:rPr>
          <w:rFonts w:asciiTheme="majorBidi" w:hAnsiTheme="majorBidi" w:cstheme="majorBidi"/>
          <w:b/>
          <w:bCs/>
          <w:i/>
          <w:iCs/>
          <w:sz w:val="28"/>
          <w:szCs w:val="28"/>
          <w:rtl/>
        </w:rPr>
        <w:t xml:space="preserve"> ينظر المعجم الفلسفي، مجمع اللغة العربية، ص: 45.</w:t>
      </w:r>
    </w:p>
  </w:footnote>
  <w:footnote w:id="7">
    <w:p w:rsidR="00FC347D" w:rsidRPr="00C33B23" w:rsidRDefault="00FC347D" w:rsidP="00FC347D">
      <w:pPr>
        <w:pStyle w:val="Notedebasdepage"/>
        <w:bidi/>
        <w:rPr>
          <w:rFonts w:asciiTheme="majorBidi" w:hAnsiTheme="majorBidi" w:cstheme="majorBidi"/>
          <w:b/>
          <w:bCs/>
          <w:sz w:val="28"/>
          <w:szCs w:val="28"/>
          <w:rtl/>
          <w:lang w:bidi="ar-DZ"/>
        </w:rPr>
      </w:pPr>
      <w:r w:rsidRPr="00C33B23">
        <w:rPr>
          <w:rStyle w:val="Appelnotedebasdep"/>
          <w:rFonts w:asciiTheme="majorBidi" w:hAnsiTheme="majorBidi" w:cstheme="majorBidi"/>
          <w:b/>
          <w:bCs/>
          <w:sz w:val="28"/>
          <w:szCs w:val="28"/>
        </w:rPr>
        <w:footnoteRef/>
      </w:r>
      <w:r w:rsidRPr="00C33B23">
        <w:rPr>
          <w:rFonts w:asciiTheme="majorBidi" w:hAnsiTheme="majorBidi" w:cstheme="majorBidi"/>
          <w:b/>
          <w:bCs/>
          <w:sz w:val="28"/>
          <w:szCs w:val="28"/>
        </w:rPr>
        <w:t xml:space="preserve"> </w:t>
      </w:r>
      <w:r w:rsidRPr="00C33B23">
        <w:rPr>
          <w:rFonts w:asciiTheme="majorBidi" w:hAnsiTheme="majorBidi" w:cstheme="majorBidi"/>
          <w:b/>
          <w:bCs/>
          <w:sz w:val="28"/>
          <w:szCs w:val="28"/>
          <w:rtl/>
          <w:lang w:bidi="ar-DZ"/>
        </w:rPr>
        <w:t xml:space="preserve">- </w:t>
      </w:r>
      <w:r w:rsidRPr="00C33B23">
        <w:rPr>
          <w:rFonts w:asciiTheme="majorBidi" w:hAnsiTheme="majorBidi" w:cstheme="majorBidi"/>
          <w:b/>
          <w:bCs/>
          <w:i/>
          <w:iCs/>
          <w:sz w:val="28"/>
          <w:szCs w:val="28"/>
          <w:rtl/>
        </w:rPr>
        <w:t>ـ ينظر محمد المبارك، المرجع السابق، ص: 311.</w:t>
      </w:r>
    </w:p>
  </w:footnote>
  <w:footnote w:id="8">
    <w:p w:rsidR="00FC347D" w:rsidRPr="00C33B23" w:rsidRDefault="00FC347D" w:rsidP="00FC347D">
      <w:pPr>
        <w:pStyle w:val="Notedebasdepage"/>
        <w:bidi/>
        <w:rPr>
          <w:b/>
          <w:bCs/>
          <w:sz w:val="28"/>
          <w:szCs w:val="28"/>
          <w:rtl/>
          <w:lang w:bidi="ar-DZ"/>
        </w:rPr>
      </w:pPr>
      <w:r w:rsidRPr="00C33B23">
        <w:rPr>
          <w:rStyle w:val="Appelnotedebasdep"/>
          <w:b/>
          <w:bCs/>
          <w:sz w:val="28"/>
          <w:szCs w:val="28"/>
        </w:rPr>
        <w:footnoteRef/>
      </w:r>
      <w:r w:rsidRPr="00C33B23">
        <w:rPr>
          <w:b/>
          <w:bCs/>
          <w:sz w:val="28"/>
          <w:szCs w:val="28"/>
        </w:rPr>
        <w:t xml:space="preserve"> </w:t>
      </w:r>
      <w:r w:rsidRPr="00C33B23">
        <w:rPr>
          <w:rFonts w:hint="cs"/>
          <w:b/>
          <w:bCs/>
          <w:sz w:val="28"/>
          <w:szCs w:val="28"/>
          <w:rtl/>
        </w:rPr>
        <w:t xml:space="preserve"> </w:t>
      </w:r>
      <w:r w:rsidRPr="00C33B23">
        <w:rPr>
          <w:rStyle w:val="Appelnotedebasdep"/>
          <w:rFonts w:asciiTheme="majorBidi" w:hAnsiTheme="majorBidi" w:cstheme="majorBidi" w:hint="cs"/>
          <w:b/>
          <w:bCs/>
          <w:sz w:val="28"/>
          <w:szCs w:val="28"/>
          <w:vertAlign w:val="baseline"/>
          <w:rtl/>
        </w:rPr>
        <w:t>المعاجم</w:t>
      </w:r>
      <w:r w:rsidRPr="00C33B23">
        <w:rPr>
          <w:rStyle w:val="Appelnotedebasdep"/>
          <w:rFonts w:asciiTheme="majorBidi" w:hAnsiTheme="majorBidi" w:cstheme="majorBidi"/>
          <w:b/>
          <w:bCs/>
          <w:sz w:val="28"/>
          <w:szCs w:val="28"/>
          <w:vertAlign w:val="baseline"/>
        </w:rPr>
        <w:t xml:space="preserve"> </w:t>
      </w:r>
      <w:r w:rsidRPr="00C33B23">
        <w:rPr>
          <w:rStyle w:val="Appelnotedebasdep"/>
          <w:rFonts w:asciiTheme="majorBidi" w:hAnsiTheme="majorBidi" w:cstheme="majorBidi" w:hint="cs"/>
          <w:b/>
          <w:bCs/>
          <w:sz w:val="28"/>
          <w:szCs w:val="28"/>
          <w:vertAlign w:val="baseline"/>
          <w:rtl/>
        </w:rPr>
        <w:t>اللّغوية</w:t>
      </w:r>
      <w:r w:rsidRPr="00C33B23">
        <w:rPr>
          <w:rStyle w:val="Appelnotedebasdep"/>
          <w:rFonts w:asciiTheme="majorBidi" w:hAnsiTheme="majorBidi" w:cstheme="majorBidi"/>
          <w:b/>
          <w:bCs/>
          <w:sz w:val="28"/>
          <w:szCs w:val="28"/>
          <w:vertAlign w:val="baseline"/>
        </w:rPr>
        <w:t xml:space="preserve"> </w:t>
      </w:r>
      <w:r w:rsidRPr="00C33B23">
        <w:rPr>
          <w:rStyle w:val="Appelnotedebasdep"/>
          <w:rFonts w:asciiTheme="majorBidi" w:hAnsiTheme="majorBidi" w:cstheme="majorBidi" w:hint="cs"/>
          <w:b/>
          <w:bCs/>
          <w:sz w:val="28"/>
          <w:szCs w:val="28"/>
          <w:vertAlign w:val="baseline"/>
          <w:rtl/>
        </w:rPr>
        <w:t>العربية</w:t>
      </w:r>
      <w:r w:rsidRPr="00C33B23">
        <w:rPr>
          <w:rStyle w:val="Appelnotedebasdep"/>
          <w:rFonts w:asciiTheme="majorBidi" w:hAnsiTheme="majorBidi" w:cstheme="majorBidi"/>
          <w:b/>
          <w:bCs/>
          <w:sz w:val="28"/>
          <w:szCs w:val="28"/>
          <w:vertAlign w:val="baseline"/>
        </w:rPr>
        <w:t xml:space="preserve"> </w:t>
      </w:r>
      <w:r w:rsidRPr="00C33B23">
        <w:rPr>
          <w:rStyle w:val="Appelnotedebasdep"/>
          <w:rFonts w:asciiTheme="majorBidi" w:hAnsiTheme="majorBidi" w:cstheme="majorBidi" w:hint="cs"/>
          <w:b/>
          <w:bCs/>
          <w:sz w:val="28"/>
          <w:szCs w:val="28"/>
          <w:vertAlign w:val="baseline"/>
          <w:rtl/>
        </w:rPr>
        <w:t xml:space="preserve">بداءتها وتطورها ،إميل يعقوب،دار العلم للملايين ،بيروت-لبنان –ط02،1985،ص12. </w:t>
      </w:r>
    </w:p>
  </w:footnote>
  <w:footnote w:id="9">
    <w:p w:rsidR="00FC347D" w:rsidRPr="00C33B23" w:rsidRDefault="00FC347D" w:rsidP="00FC347D">
      <w:pPr>
        <w:pStyle w:val="Notedebasdepage"/>
        <w:bidi/>
        <w:rPr>
          <w:rFonts w:asciiTheme="majorBidi" w:hAnsiTheme="majorBidi" w:cstheme="majorBidi"/>
          <w:b/>
          <w:bCs/>
          <w:sz w:val="28"/>
          <w:szCs w:val="28"/>
          <w:rtl/>
          <w:lang w:bidi="ar-DZ"/>
        </w:rPr>
      </w:pPr>
      <w:r w:rsidRPr="00C33B23">
        <w:rPr>
          <w:rStyle w:val="Appelnotedebasdep"/>
          <w:rFonts w:asciiTheme="majorBidi" w:hAnsiTheme="majorBidi" w:cstheme="majorBidi"/>
          <w:b/>
          <w:bCs/>
          <w:sz w:val="28"/>
          <w:szCs w:val="28"/>
        </w:rPr>
        <w:footnoteRef/>
      </w:r>
      <w:r w:rsidRPr="00C33B23">
        <w:rPr>
          <w:rFonts w:asciiTheme="majorBidi" w:hAnsiTheme="majorBidi" w:cstheme="majorBidi"/>
          <w:b/>
          <w:bCs/>
          <w:sz w:val="28"/>
          <w:szCs w:val="28"/>
        </w:rPr>
        <w:t xml:space="preserve"> </w:t>
      </w:r>
      <w:r w:rsidRPr="00C33B23">
        <w:rPr>
          <w:rFonts w:asciiTheme="majorBidi" w:hAnsiTheme="majorBidi" w:cstheme="majorBidi"/>
          <w:b/>
          <w:bCs/>
          <w:sz w:val="28"/>
          <w:szCs w:val="28"/>
          <w:rtl/>
          <w:lang w:bidi="ar-DZ"/>
        </w:rPr>
        <w:t>-</w:t>
      </w:r>
      <w:r w:rsidRPr="00C33B23">
        <w:rPr>
          <w:rFonts w:asciiTheme="majorBidi" w:hAnsiTheme="majorBidi" w:cstheme="majorBidi"/>
          <w:b/>
          <w:bCs/>
          <w:i/>
          <w:iCs/>
          <w:sz w:val="28"/>
          <w:szCs w:val="28"/>
          <w:rtl/>
        </w:rPr>
        <w:t xml:space="preserve"> ينظر: عمار شلواي، المرجع نفسه، ص 29.</w:t>
      </w:r>
    </w:p>
  </w:footnote>
  <w:footnote w:id="10">
    <w:p w:rsidR="00FC347D" w:rsidRPr="00C33B23" w:rsidRDefault="00FC347D" w:rsidP="00FC347D">
      <w:pPr>
        <w:pStyle w:val="Notedebasdepage"/>
        <w:bidi/>
        <w:rPr>
          <w:rFonts w:asciiTheme="majorBidi" w:hAnsiTheme="majorBidi" w:cstheme="majorBidi"/>
          <w:b/>
          <w:bCs/>
          <w:sz w:val="28"/>
          <w:szCs w:val="28"/>
          <w:rtl/>
          <w:lang w:bidi="ar-DZ"/>
        </w:rPr>
      </w:pPr>
      <w:r w:rsidRPr="00C33B23">
        <w:rPr>
          <w:rStyle w:val="Appelnotedebasdep"/>
          <w:rFonts w:asciiTheme="majorBidi" w:hAnsiTheme="majorBidi" w:cstheme="majorBidi"/>
          <w:b/>
          <w:bCs/>
          <w:sz w:val="28"/>
          <w:szCs w:val="28"/>
        </w:rPr>
        <w:footnoteRef/>
      </w:r>
      <w:r w:rsidRPr="00C33B23">
        <w:rPr>
          <w:rFonts w:asciiTheme="majorBidi" w:hAnsiTheme="majorBidi" w:cstheme="majorBidi"/>
          <w:b/>
          <w:bCs/>
          <w:sz w:val="28"/>
          <w:szCs w:val="28"/>
        </w:rPr>
        <w:t xml:space="preserve"> </w:t>
      </w:r>
      <w:r w:rsidRPr="00C33B23">
        <w:rPr>
          <w:rFonts w:asciiTheme="majorBidi" w:hAnsiTheme="majorBidi" w:cstheme="majorBidi"/>
          <w:b/>
          <w:bCs/>
          <w:sz w:val="28"/>
          <w:szCs w:val="28"/>
          <w:rtl/>
          <w:lang w:bidi="ar-DZ"/>
        </w:rPr>
        <w:t>-</w:t>
      </w:r>
      <w:r w:rsidRPr="00C33B23">
        <w:rPr>
          <w:rFonts w:asciiTheme="majorBidi" w:hAnsiTheme="majorBidi" w:cstheme="majorBidi"/>
          <w:b/>
          <w:bCs/>
          <w:i/>
          <w:iCs/>
          <w:sz w:val="28"/>
          <w:szCs w:val="28"/>
        </w:rPr>
        <w:t xml:space="preserve"> Voir, Ibid, T. 7. P.6884.</w:t>
      </w:r>
    </w:p>
  </w:footnote>
  <w:footnote w:id="11">
    <w:p w:rsidR="006238CE" w:rsidRPr="006238CE" w:rsidRDefault="006238CE" w:rsidP="006238CE">
      <w:pPr>
        <w:pStyle w:val="Notedebasdepage"/>
        <w:bidi/>
        <w:rPr>
          <w:rFonts w:hint="cs"/>
          <w:b/>
          <w:bCs/>
          <w:sz w:val="28"/>
          <w:szCs w:val="28"/>
          <w:rtl/>
          <w:lang w:bidi="ar-DZ"/>
        </w:rPr>
      </w:pPr>
      <w:r w:rsidRPr="006238CE">
        <w:rPr>
          <w:rStyle w:val="Appelnotedebasdep"/>
          <w:b/>
          <w:bCs/>
          <w:sz w:val="28"/>
          <w:szCs w:val="28"/>
        </w:rPr>
        <w:footnoteRef/>
      </w:r>
      <w:r w:rsidRPr="006238CE">
        <w:rPr>
          <w:b/>
          <w:bCs/>
          <w:sz w:val="28"/>
          <w:szCs w:val="28"/>
        </w:rPr>
        <w:t xml:space="preserve"> </w:t>
      </w:r>
      <w:r w:rsidRPr="006238CE">
        <w:rPr>
          <w:rFonts w:hint="cs"/>
          <w:b/>
          <w:bCs/>
          <w:sz w:val="28"/>
          <w:szCs w:val="28"/>
          <w:rtl/>
        </w:rPr>
        <w:t xml:space="preserve"> -</w:t>
      </w:r>
      <w:r w:rsidRPr="006238CE">
        <w:rPr>
          <w:rFonts w:cs="Simplified Arabic" w:hint="cs"/>
          <w:b/>
          <w:bCs/>
          <w:i/>
          <w:iCs/>
          <w:sz w:val="28"/>
          <w:szCs w:val="28"/>
          <w:rtl/>
        </w:rPr>
        <w:t xml:space="preserve"> زكي كريم حسام الدين، أصول تراثية في علم اللغة، مكتبة الأنجلو المصرية، ط: 2، القاهرة، سنة 1985.</w:t>
      </w:r>
    </w:p>
  </w:footnote>
  <w:footnote w:id="12">
    <w:p w:rsidR="006238CE" w:rsidRPr="00E42879" w:rsidRDefault="006238CE" w:rsidP="003B1C8B">
      <w:pPr>
        <w:pStyle w:val="Notedebasdepage"/>
        <w:bidi/>
        <w:rPr>
          <w:rFonts w:hint="cs"/>
          <w:b/>
          <w:bCs/>
          <w:sz w:val="28"/>
          <w:szCs w:val="28"/>
          <w:rtl/>
          <w:lang w:bidi="ar-DZ"/>
        </w:rPr>
      </w:pPr>
      <w:r w:rsidRPr="00E42879">
        <w:rPr>
          <w:rStyle w:val="Appelnotedebasdep"/>
          <w:b/>
          <w:bCs/>
          <w:sz w:val="28"/>
          <w:szCs w:val="28"/>
          <w:vertAlign w:val="baseline"/>
        </w:rPr>
        <w:footnoteRef/>
      </w:r>
      <w:r w:rsidRPr="00E42879">
        <w:rPr>
          <w:b/>
          <w:bCs/>
          <w:sz w:val="28"/>
          <w:szCs w:val="28"/>
        </w:rPr>
        <w:t xml:space="preserve"> </w:t>
      </w:r>
      <w:r w:rsidRPr="00E42879">
        <w:rPr>
          <w:rFonts w:hint="cs"/>
          <w:b/>
          <w:bCs/>
          <w:sz w:val="28"/>
          <w:szCs w:val="28"/>
          <w:rtl/>
          <w:lang w:bidi="ar-DZ"/>
        </w:rPr>
        <w:t xml:space="preserve">- </w:t>
      </w:r>
      <w:r w:rsidRPr="00E42879">
        <w:rPr>
          <w:rFonts w:cs="Simplified Arabic" w:hint="cs"/>
          <w:b/>
          <w:bCs/>
          <w:i/>
          <w:iCs/>
          <w:sz w:val="28"/>
          <w:szCs w:val="28"/>
          <w:rtl/>
        </w:rPr>
        <w:t>السطل، وجيهة، التأليف في خلق الإنسان، منشورات دار الحكمة، دمشق، بدون تاريخ.</w:t>
      </w:r>
    </w:p>
  </w:footnote>
  <w:footnote w:id="13">
    <w:p w:rsidR="00E42879" w:rsidRPr="00E42879" w:rsidRDefault="00E42879" w:rsidP="003B1C8B">
      <w:pPr>
        <w:bidi/>
        <w:spacing w:before="40" w:line="240" w:lineRule="auto"/>
        <w:ind w:left="416" w:hanging="416"/>
        <w:rPr>
          <w:rFonts w:cs="Simplified Arabic" w:hint="cs"/>
          <w:i/>
          <w:iCs/>
          <w:sz w:val="28"/>
          <w:szCs w:val="28"/>
          <w:rtl/>
        </w:rPr>
      </w:pPr>
      <w:r w:rsidRPr="00E42879">
        <w:rPr>
          <w:rStyle w:val="Appelnotedebasdep"/>
          <w:sz w:val="28"/>
          <w:szCs w:val="28"/>
          <w:vertAlign w:val="baseline"/>
        </w:rPr>
        <w:footnoteRef/>
      </w:r>
      <w:r w:rsidRPr="00E42879">
        <w:rPr>
          <w:sz w:val="28"/>
          <w:szCs w:val="28"/>
        </w:rPr>
        <w:t xml:space="preserve"> </w:t>
      </w:r>
      <w:r w:rsidRPr="00E42879">
        <w:rPr>
          <w:rFonts w:hint="cs"/>
          <w:b/>
          <w:bCs/>
          <w:sz w:val="28"/>
          <w:szCs w:val="28"/>
          <w:rtl/>
          <w:lang w:bidi="ar-DZ"/>
        </w:rPr>
        <w:t>-</w:t>
      </w:r>
      <w:r w:rsidRPr="00E42879">
        <w:rPr>
          <w:rFonts w:cs="Simplified Arabic" w:hint="cs"/>
          <w:b/>
          <w:bCs/>
          <w:i/>
          <w:iCs/>
          <w:sz w:val="28"/>
          <w:szCs w:val="28"/>
          <w:rtl/>
        </w:rPr>
        <w:t>- ابن السكيت، أبو يوسف بن إسحاق، كتاب الألفاظ، تحقيق الأب شيخو اليسوعي، بيروت، 1895م، (طبعة ثانية- مختصر تهذيب الألفاظ- سنة 1897م)</w:t>
      </w:r>
      <w:r w:rsidRPr="00E42879">
        <w:rPr>
          <w:rFonts w:cs="Simplified Arabic" w:hint="cs"/>
          <w:i/>
          <w:iCs/>
          <w:sz w:val="28"/>
          <w:szCs w:val="28"/>
          <w:rtl/>
        </w:rPr>
        <w:t>.</w:t>
      </w:r>
    </w:p>
    <w:p w:rsidR="00E42879" w:rsidRDefault="00E42879" w:rsidP="003B1C8B">
      <w:pPr>
        <w:pStyle w:val="Notedebasdepage"/>
        <w:bidi/>
        <w:rPr>
          <w:rFonts w:hint="cs"/>
          <w:rtl/>
        </w:rPr>
      </w:pPr>
    </w:p>
  </w:footnote>
  <w:footnote w:id="14">
    <w:p w:rsidR="003B1C8B" w:rsidRPr="003B1C8B" w:rsidRDefault="003B1C8B" w:rsidP="003B1C8B">
      <w:pPr>
        <w:pStyle w:val="Notedebasdepage"/>
        <w:bidi/>
        <w:rPr>
          <w:rFonts w:hint="cs"/>
          <w:b/>
          <w:bCs/>
          <w:sz w:val="28"/>
          <w:szCs w:val="28"/>
          <w:rtl/>
          <w:lang w:bidi="ar-DZ"/>
        </w:rPr>
      </w:pPr>
      <w:r w:rsidRPr="003B1C8B">
        <w:rPr>
          <w:rStyle w:val="Appelnotedebasdep"/>
          <w:b/>
          <w:bCs/>
          <w:sz w:val="28"/>
          <w:szCs w:val="28"/>
        </w:rPr>
        <w:footnoteRef/>
      </w:r>
      <w:r w:rsidRPr="003B1C8B">
        <w:rPr>
          <w:b/>
          <w:bCs/>
          <w:sz w:val="28"/>
          <w:szCs w:val="28"/>
        </w:rPr>
        <w:t xml:space="preserve"> </w:t>
      </w:r>
      <w:r w:rsidRPr="003B1C8B">
        <w:rPr>
          <w:rFonts w:cs="Simplified Arabic" w:hint="cs"/>
          <w:b/>
          <w:bCs/>
          <w:i/>
          <w:iCs/>
          <w:sz w:val="28"/>
          <w:szCs w:val="28"/>
          <w:rtl/>
        </w:rPr>
        <w:t>ابن سيده، أبو الحسن علي بن إسماعيل، المخصّص، تحقيق لجنة إحياء التراث العربي، منشورات دار الآفاق الجديد، بيروت</w:t>
      </w:r>
      <w:r>
        <w:rPr>
          <w:rFonts w:cs="Simplified Arabic" w:hint="cs"/>
          <w:b/>
          <w:bCs/>
          <w:i/>
          <w:iCs/>
          <w:sz w:val="28"/>
          <w:szCs w:val="28"/>
          <w:rtl/>
        </w:rPr>
        <w:t>.</w:t>
      </w:r>
    </w:p>
  </w:footnote>
  <w:footnote w:id="15">
    <w:p w:rsidR="00185A02" w:rsidRDefault="00185A02" w:rsidP="00185A02">
      <w:pPr>
        <w:pStyle w:val="Notedebasdepage"/>
        <w:bidi/>
        <w:rPr>
          <w:rFonts w:hint="cs"/>
          <w:rtl/>
          <w:lang w:bidi="ar-DZ"/>
        </w:rPr>
      </w:pPr>
      <w:r w:rsidRPr="00185A02">
        <w:rPr>
          <w:rStyle w:val="Appelnotedebasdep"/>
          <w:b/>
          <w:bCs/>
          <w:sz w:val="28"/>
          <w:szCs w:val="28"/>
        </w:rPr>
        <w:footnoteRef/>
      </w:r>
      <w:r w:rsidRPr="00185A02">
        <w:rPr>
          <w:b/>
          <w:bCs/>
          <w:sz w:val="28"/>
          <w:szCs w:val="28"/>
        </w:rPr>
        <w:t xml:space="preserve"> </w:t>
      </w:r>
      <w:r w:rsidRPr="00185A02">
        <w:rPr>
          <w:rFonts w:hint="cs"/>
          <w:b/>
          <w:bCs/>
          <w:sz w:val="28"/>
          <w:szCs w:val="28"/>
          <w:rtl/>
        </w:rPr>
        <w:t xml:space="preserve">- </w:t>
      </w:r>
      <w:r w:rsidRPr="00185A02">
        <w:rPr>
          <w:rFonts w:cs="Simplified Arabic" w:hint="cs"/>
          <w:b/>
          <w:bCs/>
          <w:i/>
          <w:iCs/>
          <w:sz w:val="28"/>
          <w:szCs w:val="28"/>
          <w:rtl/>
        </w:rPr>
        <w:t>زيان أبو طالب، المعاجم اللغوية بين ماضيها وحاضرها، المجمع العلمي العربي، سورية، يناير 1965</w:t>
      </w:r>
      <w:r w:rsidRPr="00185A02">
        <w:rPr>
          <w:rFonts w:cs="Simplified Arabic" w:hint="cs"/>
          <w:i/>
          <w:iCs/>
          <w:sz w:val="28"/>
          <w:szCs w:val="28"/>
          <w:rtl/>
        </w:rPr>
        <w:t>.</w:t>
      </w:r>
    </w:p>
  </w:footnote>
  <w:footnote w:id="16">
    <w:p w:rsidR="00185A02" w:rsidRPr="00185A02" w:rsidRDefault="00185A02" w:rsidP="00185A02">
      <w:pPr>
        <w:pStyle w:val="Notedebasdepage"/>
        <w:bidi/>
        <w:rPr>
          <w:rFonts w:hint="cs"/>
          <w:b/>
          <w:bCs/>
          <w:sz w:val="28"/>
          <w:szCs w:val="28"/>
          <w:rtl/>
          <w:lang w:bidi="ar-DZ"/>
        </w:rPr>
      </w:pPr>
      <w:r w:rsidRPr="00185A02">
        <w:rPr>
          <w:rStyle w:val="Appelnotedebasdep"/>
          <w:b/>
          <w:bCs/>
          <w:sz w:val="28"/>
          <w:szCs w:val="28"/>
        </w:rPr>
        <w:footnoteRef/>
      </w:r>
      <w:r w:rsidRPr="00185A02">
        <w:rPr>
          <w:b/>
          <w:bCs/>
          <w:sz w:val="28"/>
          <w:szCs w:val="28"/>
        </w:rPr>
        <w:t xml:space="preserve"> </w:t>
      </w:r>
      <w:r w:rsidRPr="00185A02">
        <w:rPr>
          <w:rFonts w:hint="cs"/>
          <w:b/>
          <w:bCs/>
          <w:sz w:val="28"/>
          <w:szCs w:val="28"/>
          <w:rtl/>
          <w:lang w:bidi="ar-DZ"/>
        </w:rPr>
        <w:t xml:space="preserve">- </w:t>
      </w:r>
      <w:r w:rsidRPr="00185A02">
        <w:rPr>
          <w:rFonts w:cs="Simplified Arabic" w:hint="cs"/>
          <w:b/>
          <w:bCs/>
          <w:i/>
          <w:iCs/>
          <w:sz w:val="28"/>
          <w:szCs w:val="28"/>
          <w:rtl/>
        </w:rPr>
        <w:t>الشاوي أحمد بن عبد الله، من مشاكل الدلالة، مجلة اللسان العربي، المنظمة العربية للتربية والثقافة والعلوم، مكتب تنسيق التعريب، عدد 22، 1982- 1983.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ABC"/>
    <w:multiLevelType w:val="hybridMultilevel"/>
    <w:tmpl w:val="195A1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657DDE"/>
    <w:multiLevelType w:val="hybridMultilevel"/>
    <w:tmpl w:val="8236F71E"/>
    <w:lvl w:ilvl="0" w:tplc="8F4A75E6">
      <w:numFmt w:val="bullet"/>
      <w:lvlText w:val=""/>
      <w:lvlJc w:val="left"/>
      <w:pPr>
        <w:ind w:left="785" w:hanging="360"/>
      </w:pPr>
      <w:rPr>
        <w:rFonts w:ascii="Symbol" w:eastAsiaTheme="minorHAnsi" w:hAnsi="Symbol" w:cstheme="majorBidi"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
    <w:nsid w:val="50EF30B7"/>
    <w:multiLevelType w:val="hybridMultilevel"/>
    <w:tmpl w:val="52DAD7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09A436E"/>
    <w:multiLevelType w:val="hybridMultilevel"/>
    <w:tmpl w:val="A7C4B3E6"/>
    <w:lvl w:ilvl="0" w:tplc="911A38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417A5E"/>
    <w:multiLevelType w:val="hybridMultilevel"/>
    <w:tmpl w:val="06E6EE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2F2360"/>
    <w:multiLevelType w:val="hybridMultilevel"/>
    <w:tmpl w:val="24BE0D00"/>
    <w:lvl w:ilvl="0" w:tplc="AD22926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C347D"/>
    <w:rsid w:val="000028A7"/>
    <w:rsid w:val="000E178E"/>
    <w:rsid w:val="001142CE"/>
    <w:rsid w:val="00185A02"/>
    <w:rsid w:val="003B1C8B"/>
    <w:rsid w:val="004E7C8C"/>
    <w:rsid w:val="005B3DB0"/>
    <w:rsid w:val="005C6A1E"/>
    <w:rsid w:val="005D1AFA"/>
    <w:rsid w:val="005D5DC6"/>
    <w:rsid w:val="006238CE"/>
    <w:rsid w:val="007660B3"/>
    <w:rsid w:val="007C019C"/>
    <w:rsid w:val="0093594B"/>
    <w:rsid w:val="009955B0"/>
    <w:rsid w:val="00C33B23"/>
    <w:rsid w:val="00D63B19"/>
    <w:rsid w:val="00E42879"/>
    <w:rsid w:val="00F95FBA"/>
    <w:rsid w:val="00FC34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7D"/>
  </w:style>
  <w:style w:type="paragraph" w:styleId="Titre1">
    <w:name w:val="heading 1"/>
    <w:basedOn w:val="Normal"/>
    <w:next w:val="Normal"/>
    <w:link w:val="Titre1Car"/>
    <w:qFormat/>
    <w:rsid w:val="00FC347D"/>
    <w:pPr>
      <w:keepNext/>
      <w:bidi/>
      <w:spacing w:before="120" w:after="120" w:line="240" w:lineRule="auto"/>
      <w:jc w:val="center"/>
      <w:outlineLvl w:val="0"/>
    </w:pPr>
    <w:rPr>
      <w:rFonts w:ascii="Arial" w:eastAsia="Times New Roman" w:hAnsi="Arial" w:cs="MCS Jeddah S_U normal."/>
      <w:kern w:val="28"/>
      <w:sz w:val="46"/>
      <w:szCs w:val="48"/>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C347D"/>
    <w:rPr>
      <w:rFonts w:ascii="Arial" w:eastAsia="Times New Roman" w:hAnsi="Arial" w:cs="MCS Jeddah S_U normal."/>
      <w:kern w:val="28"/>
      <w:sz w:val="46"/>
      <w:szCs w:val="48"/>
      <w:lang w:val="en-US" w:eastAsia="ar-SA"/>
    </w:rPr>
  </w:style>
  <w:style w:type="paragraph" w:styleId="Notedebasdepage">
    <w:name w:val="footnote text"/>
    <w:basedOn w:val="Normal"/>
    <w:link w:val="NotedebasdepageCar"/>
    <w:uiPriority w:val="99"/>
    <w:semiHidden/>
    <w:unhideWhenUsed/>
    <w:rsid w:val="00FC347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347D"/>
    <w:rPr>
      <w:sz w:val="20"/>
      <w:szCs w:val="20"/>
    </w:rPr>
  </w:style>
  <w:style w:type="character" w:styleId="Appelnotedebasdep">
    <w:name w:val="footnote reference"/>
    <w:basedOn w:val="Policepardfaut"/>
    <w:uiPriority w:val="99"/>
    <w:semiHidden/>
    <w:unhideWhenUsed/>
    <w:rsid w:val="00FC347D"/>
    <w:rPr>
      <w:vertAlign w:val="superscript"/>
    </w:rPr>
  </w:style>
  <w:style w:type="paragraph" w:styleId="Retraitcorpsdetexte3">
    <w:name w:val="Body Text Indent 3"/>
    <w:basedOn w:val="Normal"/>
    <w:link w:val="Retraitcorpsdetexte3Car"/>
    <w:semiHidden/>
    <w:rsid w:val="00FC347D"/>
    <w:pPr>
      <w:widowControl w:val="0"/>
      <w:bidi/>
      <w:spacing w:before="60" w:after="0" w:line="192" w:lineRule="auto"/>
      <w:ind w:firstLine="425"/>
      <w:jc w:val="lowKashida"/>
    </w:pPr>
    <w:rPr>
      <w:rFonts w:ascii="Times New Roman" w:eastAsia="Times New Roman" w:hAnsi="Times New Roman" w:cs="Traditional Arabic"/>
      <w:spacing w:val="-4"/>
      <w:sz w:val="26"/>
      <w:szCs w:val="26"/>
      <w:lang w:val="en-US"/>
    </w:rPr>
  </w:style>
  <w:style w:type="character" w:customStyle="1" w:styleId="Retraitcorpsdetexte3Car">
    <w:name w:val="Retrait corps de texte 3 Car"/>
    <w:basedOn w:val="Policepardfaut"/>
    <w:link w:val="Retraitcorpsdetexte3"/>
    <w:semiHidden/>
    <w:rsid w:val="00FC347D"/>
    <w:rPr>
      <w:rFonts w:ascii="Times New Roman" w:eastAsia="Times New Roman" w:hAnsi="Times New Roman" w:cs="Traditional Arabic"/>
      <w:spacing w:val="-4"/>
      <w:sz w:val="26"/>
      <w:szCs w:val="26"/>
      <w:lang w:val="en-US"/>
    </w:rPr>
  </w:style>
  <w:style w:type="paragraph" w:styleId="Paragraphedeliste">
    <w:name w:val="List Paragraph"/>
    <w:basedOn w:val="Normal"/>
    <w:uiPriority w:val="34"/>
    <w:qFormat/>
    <w:rsid w:val="0093594B"/>
    <w:pPr>
      <w:ind w:left="720"/>
      <w:contextualSpacing/>
    </w:pPr>
  </w:style>
  <w:style w:type="paragraph" w:styleId="En-tte">
    <w:name w:val="header"/>
    <w:basedOn w:val="Normal"/>
    <w:link w:val="En-tteCar"/>
    <w:uiPriority w:val="99"/>
    <w:semiHidden/>
    <w:unhideWhenUsed/>
    <w:rsid w:val="00D63B1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63B19"/>
  </w:style>
  <w:style w:type="paragraph" w:styleId="Pieddepage">
    <w:name w:val="footer"/>
    <w:basedOn w:val="Normal"/>
    <w:link w:val="PieddepageCar"/>
    <w:uiPriority w:val="99"/>
    <w:unhideWhenUsed/>
    <w:rsid w:val="00D63B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63B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1101</Words>
  <Characters>6056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Info Saada</cp:lastModifiedBy>
  <cp:revision>15</cp:revision>
  <dcterms:created xsi:type="dcterms:W3CDTF">2020-04-12T20:42:00Z</dcterms:created>
  <dcterms:modified xsi:type="dcterms:W3CDTF">2020-09-20T16:21:00Z</dcterms:modified>
</cp:coreProperties>
</file>