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09" w:rsidRDefault="00013E9F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CHAPITRE 4                                </w:t>
      </w:r>
      <w:r w:rsidRPr="00DD6909">
        <w:rPr>
          <w:rFonts w:asciiTheme="majorBidi" w:hAnsiTheme="majorBidi" w:cstheme="majorBidi"/>
          <w:b/>
          <w:bCs/>
          <w:sz w:val="24"/>
          <w:szCs w:val="24"/>
        </w:rPr>
        <w:t>MECANISMES DE REPARATION D’ADN</w:t>
      </w:r>
    </w:p>
    <w:p w:rsidR="00013E9F" w:rsidRPr="00DD6909" w:rsidRDefault="00013E9F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D6909" w:rsidRPr="00DD6909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6909">
        <w:rPr>
          <w:rFonts w:asciiTheme="majorBidi" w:hAnsiTheme="majorBidi" w:cstheme="majorBidi"/>
          <w:sz w:val="24"/>
          <w:szCs w:val="24"/>
        </w:rPr>
        <w:t>Les lésions en quantités trop importantes vont entraîner la mort cellulaire</w:t>
      </w:r>
      <w:bookmarkStart w:id="0" w:name="_GoBack"/>
      <w:bookmarkEnd w:id="0"/>
      <w:r w:rsidRPr="00DD6909">
        <w:rPr>
          <w:rFonts w:asciiTheme="majorBidi" w:hAnsiTheme="majorBidi" w:cstheme="majorBidi"/>
          <w:sz w:val="24"/>
          <w:szCs w:val="24"/>
        </w:rPr>
        <w:t>, et 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présentent aucune conséquence évolutive. En revanche, lorsque ces dommages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vont être endigués, la nature du mécanisme de prise en charge va déterminer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caractère correct ou incorrect de la réparation, et donc ses conséquences sur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maintien de l’intégrité de l’information génétique.</w:t>
      </w:r>
    </w:p>
    <w:p w:rsidR="00DD6909" w:rsidRPr="00FF70F5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70F5">
        <w:rPr>
          <w:rFonts w:asciiTheme="majorBidi" w:hAnsiTheme="majorBidi" w:cstheme="majorBidi"/>
          <w:b/>
          <w:bCs/>
          <w:sz w:val="24"/>
          <w:szCs w:val="24"/>
          <w:u w:val="single"/>
        </w:rPr>
        <w:t>Réparation par excision</w:t>
      </w:r>
    </w:p>
    <w:p w:rsidR="00DD6909" w:rsidRPr="00FF70F5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FF70F5">
        <w:rPr>
          <w:rFonts w:asciiTheme="majorBidi" w:hAnsiTheme="majorBidi" w:cstheme="majorBidi"/>
          <w:i/>
          <w:iCs/>
          <w:sz w:val="24"/>
          <w:szCs w:val="24"/>
          <w:u w:val="single"/>
        </w:rPr>
        <w:t>1- Réparation par excision de base</w:t>
      </w:r>
    </w:p>
    <w:p w:rsidR="00DD6909" w:rsidRPr="00DD6909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6909">
        <w:rPr>
          <w:rFonts w:asciiTheme="majorBidi" w:hAnsiTheme="majorBidi" w:cstheme="majorBidi"/>
          <w:sz w:val="24"/>
          <w:szCs w:val="24"/>
        </w:rPr>
        <w:t>Suite à l’action de mutagènes ou spontanément, des bases aberrantes peuvent être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présentes dans l’ADN. Par exemple, l’uracile peut apparaître suite à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désamination d’une 5mC. Des bases modifiées sont produites par oxydation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alkylation. La réparation par excision de base (BER) est communément utilisée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pour éliminer par excision les bases endommagées. Dans ce processus, une ADN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glycosylase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reconnaît la base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modifée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et l’élimine, puis une activité</w:t>
      </w:r>
    </w:p>
    <w:p w:rsidR="00DD6909" w:rsidRPr="00DD6909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D6909">
        <w:rPr>
          <w:rFonts w:asciiTheme="majorBidi" w:hAnsiTheme="majorBidi" w:cstheme="majorBidi"/>
          <w:sz w:val="24"/>
          <w:szCs w:val="24"/>
        </w:rPr>
        <w:t>endonucléasique</w:t>
      </w:r>
      <w:proofErr w:type="spellEnd"/>
      <w:proofErr w:type="gramEnd"/>
      <w:r w:rsidRPr="00DD6909">
        <w:rPr>
          <w:rFonts w:asciiTheme="majorBidi" w:hAnsiTheme="majorBidi" w:cstheme="majorBidi"/>
          <w:sz w:val="24"/>
          <w:szCs w:val="24"/>
        </w:rPr>
        <w:t xml:space="preserve"> clive le désoxyribose. Une ADN polymérase remplit à nouveau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l’espace libéré en utilisant la base complémentaire comme matrice. Enfin, une ADN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ligase suture le brin réparé. Les mutations dans les acteurs de la réparation par BER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entraînent une augmentation de la fréquence de mutations chez de nombreux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organismes (Reagan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proofErr w:type="gramStart"/>
      <w:r w:rsidRPr="00DD6909">
        <w:rPr>
          <w:rFonts w:asciiTheme="majorBidi" w:hAnsiTheme="majorBidi" w:cstheme="majorBidi"/>
          <w:i/>
          <w:iCs/>
          <w:sz w:val="24"/>
          <w:szCs w:val="24"/>
        </w:rPr>
        <w:t>al</w:t>
      </w:r>
      <w:r w:rsidRPr="00DD6909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DD6909">
        <w:rPr>
          <w:rFonts w:asciiTheme="majorBidi" w:hAnsiTheme="majorBidi" w:cstheme="majorBidi"/>
          <w:sz w:val="24"/>
          <w:szCs w:val="24"/>
        </w:rPr>
        <w:t xml:space="preserve"> 1995; Denver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 xml:space="preserve">., 2006;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Kurthkoti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>., 2008)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(figure 1).</w:t>
      </w:r>
    </w:p>
    <w:p w:rsidR="00DD6909" w:rsidRPr="00FF70F5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FF70F5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2- Réparation par excision de </w:t>
      </w:r>
      <w:proofErr w:type="spellStart"/>
      <w:r w:rsidRPr="00FF70F5">
        <w:rPr>
          <w:rFonts w:asciiTheme="majorBidi" w:hAnsiTheme="majorBidi" w:cstheme="majorBidi"/>
          <w:i/>
          <w:iCs/>
          <w:sz w:val="24"/>
          <w:szCs w:val="24"/>
          <w:u w:val="single"/>
        </w:rPr>
        <w:t>nucleotides</w:t>
      </w:r>
      <w:proofErr w:type="spellEnd"/>
    </w:p>
    <w:p w:rsidR="00DD6909" w:rsidRPr="00DD6909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6909">
        <w:rPr>
          <w:rFonts w:asciiTheme="majorBidi" w:hAnsiTheme="majorBidi" w:cstheme="majorBidi"/>
          <w:sz w:val="24"/>
          <w:szCs w:val="24"/>
        </w:rPr>
        <w:t>La réparation par excision du nucléotide (NER) est un mécanisme plus flexible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le BER. Elle permet la réparation par excision d’un segment d’ADN contenant le 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endommagé. Le principe est la reconnaissance de la perturbation engendrée par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dommage quelle que soit sa nature puis une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endonucléase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clive de part et d’autre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de la lésion. Le segment d’ADN contenant la lésion est éliminé grâce à une activité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hélicase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. L’ADN polymérase synthétise un nouveau brin à partir de l’extrémité 3’OH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libre puis l’ADN ligase lie le segment nouvellement synthétisé au brin d’ADN (figure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2). Chez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E. coli</w:t>
      </w:r>
      <w:r w:rsidRPr="00DD6909">
        <w:rPr>
          <w:rFonts w:asciiTheme="majorBidi" w:hAnsiTheme="majorBidi" w:cstheme="majorBidi"/>
          <w:sz w:val="24"/>
          <w:szCs w:val="24"/>
        </w:rPr>
        <w:t>, le NER est catalysé par l’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excinucléase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UvrABC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et une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hélicase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UvrD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L’inactivation d’</w:t>
      </w:r>
      <w:proofErr w:type="spellStart"/>
      <w:r w:rsidRPr="00DD6909">
        <w:rPr>
          <w:rFonts w:asciiTheme="majorBidi" w:hAnsiTheme="majorBidi" w:cstheme="majorBidi"/>
          <w:i/>
          <w:iCs/>
          <w:sz w:val="24"/>
          <w:szCs w:val="24"/>
        </w:rPr>
        <w:t>uvrD</w:t>
      </w:r>
      <w:proofErr w:type="spellEnd"/>
      <w:r w:rsidRPr="00DD690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augmente la fréquence de mutations spontanées par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facteur 100 (Washburn et Kushner, </w:t>
      </w:r>
      <w:proofErr w:type="gramStart"/>
      <w:r w:rsidRPr="00DD6909">
        <w:rPr>
          <w:rFonts w:asciiTheme="majorBidi" w:hAnsiTheme="majorBidi" w:cstheme="majorBidi"/>
          <w:sz w:val="24"/>
          <w:szCs w:val="24"/>
        </w:rPr>
        <w:t>1991;</w:t>
      </w:r>
      <w:proofErr w:type="gramEnd"/>
      <w:r w:rsidRPr="00DD6909">
        <w:rPr>
          <w:rFonts w:asciiTheme="majorBidi" w:hAnsiTheme="majorBidi" w:cstheme="majorBidi"/>
          <w:sz w:val="24"/>
          <w:szCs w:val="24"/>
        </w:rPr>
        <w:t xml:space="preserve"> Hall, 1995;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LeCuyer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>., 2010).</w:t>
      </w:r>
    </w:p>
    <w:p w:rsidR="00DD6909" w:rsidRPr="00FF70F5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70F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Réparation des mésappariements</w:t>
      </w:r>
    </w:p>
    <w:p w:rsidR="00DD6909" w:rsidRPr="00DD6909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6909">
        <w:rPr>
          <w:rFonts w:asciiTheme="majorBidi" w:hAnsiTheme="majorBidi" w:cstheme="majorBidi"/>
          <w:sz w:val="24"/>
          <w:szCs w:val="24"/>
        </w:rPr>
        <w:t>Un troisième système de réparation par excision reconnaît les bases qui, bien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mésincorporées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et donc incorrectes, ont été maintenues dans le brin d’ADN.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mécanisme spécifique, post-réplicatif, appelé ‘DNA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mismatch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repair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’ ou MMR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permet l’élimination efficace de ces erreurs. Lorsqu’un mésappariement dans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brin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néosynthétisé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est formé, le </w:t>
      </w:r>
      <w:r w:rsidRPr="00DD6909">
        <w:rPr>
          <w:rFonts w:asciiTheme="majorBidi" w:hAnsiTheme="majorBidi" w:cstheme="majorBidi"/>
          <w:sz w:val="24"/>
          <w:szCs w:val="24"/>
        </w:rPr>
        <w:lastRenderedPageBreak/>
        <w:t>système MMR l’excise et restaure la séquence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originelle (figure 3). La discrimination des brins, parental et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néosynthétisé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se fait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grâce au caractère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méthylé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du brin parental. La méthylation est un phénomène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post-réplicatif. Chez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E. coli</w:t>
      </w:r>
      <w:r w:rsidRPr="00DD6909">
        <w:rPr>
          <w:rFonts w:asciiTheme="majorBidi" w:hAnsiTheme="majorBidi" w:cstheme="majorBidi"/>
          <w:sz w:val="24"/>
          <w:szCs w:val="24"/>
        </w:rPr>
        <w:t xml:space="preserve">, les protéines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MutS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MutL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MutH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sont les acteurs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essentiels pour ce mécanisme MMR. Ainsi, des mutations dans ces gènes sont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l’origine d’une mutabilité spontanée se traduisant principalement par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transitions et des délétions d’un seul nucléotide ainsi que quelques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transversions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Modrich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1991).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Par ailleurs, le MMR joue un rôle anti-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recombinogène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servant de barrière à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recombinaison entre les séquences peu homologues. Chez les bactéries, cela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empêche l’intégration au chromosome de séquences trop divergentes et chez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l’homme, c’est la recombinaison non allélique qui est limitée (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Rayssiguier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proofErr w:type="gramStart"/>
      <w:r w:rsidRPr="00DD6909">
        <w:rPr>
          <w:rFonts w:asciiTheme="majorBidi" w:hAnsiTheme="majorBidi" w:cstheme="majorBidi"/>
          <w:i/>
          <w:iCs/>
          <w:sz w:val="24"/>
          <w:szCs w:val="24"/>
        </w:rPr>
        <w:t>al</w:t>
      </w:r>
      <w:r w:rsidRPr="00DD6909">
        <w:rPr>
          <w:rFonts w:asciiTheme="majorBidi" w:hAnsiTheme="majorBidi" w:cstheme="majorBidi"/>
          <w:sz w:val="24"/>
          <w:szCs w:val="24"/>
        </w:rPr>
        <w:t>.,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1989; Selva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 xml:space="preserve">., 1995; de Wind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 xml:space="preserve">., 1995; Chambers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 xml:space="preserve">., 1996;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Štambuk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Radman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1998).</w:t>
      </w:r>
    </w:p>
    <w:p w:rsidR="00DD6909" w:rsidRPr="00FF70F5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70F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Réparation par recombinaison</w:t>
      </w:r>
    </w:p>
    <w:p w:rsidR="00DD6909" w:rsidRPr="00DD6909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6909">
        <w:rPr>
          <w:rFonts w:asciiTheme="majorBidi" w:hAnsiTheme="majorBidi" w:cstheme="majorBidi"/>
          <w:sz w:val="24"/>
          <w:szCs w:val="24"/>
        </w:rPr>
        <w:t>En cas de cassures de l’ADN ou si les deux brins de la molécule sont altérés,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réparation par recombinaison est utilisée. Deux grands types de mécanismes sont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distinguer : (i) ceux faisant intervenir la recombinaison homologue (RH) qui permet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une réparation la plupart du temps fidèle et (ii) ceux appelés collectivement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recombinaison illégitime (RI) susceptibles d’engendrer des mutations.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recombinaison homologue nécessite la présence de séquences homologues et d’une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protéine synaptique, capable de promouvoir l’échange de brin d’ADN au sein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duplex d’ADN. Les mécanismes de recombinaison illégitime bien que faisant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intervenir des acteurs très divers ont tous en commun de s’affranchir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présence de séquences homologues pour recombiner des molécules d’ADN.</w:t>
      </w:r>
    </w:p>
    <w:p w:rsidR="00DD6909" w:rsidRPr="00FF70F5" w:rsidRDefault="00DD6909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70F5">
        <w:rPr>
          <w:rFonts w:asciiTheme="majorBidi" w:hAnsiTheme="majorBidi" w:cstheme="majorBidi"/>
          <w:b/>
          <w:bCs/>
          <w:sz w:val="24"/>
          <w:szCs w:val="24"/>
          <w:u w:val="single"/>
        </w:rPr>
        <w:t>Le système SOS</w:t>
      </w:r>
    </w:p>
    <w:p w:rsidR="00DD6909" w:rsidRDefault="00DD6909" w:rsidP="00885E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6909">
        <w:rPr>
          <w:rFonts w:asciiTheme="majorBidi" w:hAnsiTheme="majorBidi" w:cstheme="majorBidi"/>
          <w:sz w:val="24"/>
          <w:szCs w:val="24"/>
        </w:rPr>
        <w:t>Chez les bactéries, les cellules exposées à des agents endommageant l’ADN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expriment une réponse appelée réponse SOS. Il s’agit d’un ensemble de gènes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impliqués dans le contrôle du cycle cellulaire et de la réparation de l’ADN. Cette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réponse est inductible et proportionnée à l’agression. Elle doit permettre de parer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l’accumulation des dommages par l’expression accrue de mécanismes de réparation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correcte (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error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-free) ou l’induction d’une composante incorrecte (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error-prone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Cette réponse repose sur un contrôle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transcriptionnel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d’un ensemble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gènes dispersés dans le génome. Chez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 xml:space="preserve">E. coli </w:t>
      </w:r>
      <w:r w:rsidRPr="00DD6909">
        <w:rPr>
          <w:rFonts w:asciiTheme="majorBidi" w:hAnsiTheme="majorBidi" w:cstheme="majorBidi"/>
          <w:sz w:val="24"/>
          <w:szCs w:val="24"/>
        </w:rPr>
        <w:t>et de nombreuses autres bactéries,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couple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LexA-RecA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est l’acteur central de la réponse SOS. La fixation de la protéine</w:t>
      </w:r>
      <w:r w:rsidR="00885E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LexA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sur le promoteur des gènes cibles assure la répression de leur expression.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dommage à l’ADN génère un signal (présence d’ADN simple brin) qui active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l’activité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co-protéasique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de la protéine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RecA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(appelée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RecA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*). Cette activité,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favorisant la dégradation de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LexA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déréprime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régulon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SOS. Outre la surexpression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des systèmes de réparation correcte (tel le </w:t>
      </w:r>
      <w:r w:rsidRPr="00DD6909">
        <w:rPr>
          <w:rFonts w:asciiTheme="majorBidi" w:hAnsiTheme="majorBidi" w:cstheme="majorBidi"/>
          <w:sz w:val="24"/>
          <w:szCs w:val="24"/>
        </w:rPr>
        <w:lastRenderedPageBreak/>
        <w:t xml:space="preserve">système d’excision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Uvr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),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composante mutagène codée par l’opéron </w:t>
      </w:r>
      <w:proofErr w:type="spellStart"/>
      <w:r w:rsidRPr="00DD6909">
        <w:rPr>
          <w:rFonts w:asciiTheme="majorBidi" w:hAnsiTheme="majorBidi" w:cstheme="majorBidi"/>
          <w:i/>
          <w:iCs/>
          <w:sz w:val="24"/>
          <w:szCs w:val="24"/>
        </w:rPr>
        <w:t>umcDC</w:t>
      </w:r>
      <w:proofErr w:type="spellEnd"/>
      <w:r w:rsidRPr="00DD690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exprimant une polymérase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infidèle appelée polymérase V. Cette polymérase possède une activité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translésion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qui lui permet de synthétiser le brin complémentaire à travers un dommage porté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par l’ADN matrice. En contrepartie, la synthèse est le plus fréquemment incorrecte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>par rapport à l’information originelle (Goodman, 2002). Une autre polymérase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infidèle est induite lors de la réponse SOS, il s’agit de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DinB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aussi appelé polymérase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IV. Cette polymérase a une activité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translésion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plus faible que la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PolV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et induit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mutations sur des matrices non endommagées.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DinB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participe également à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mutagénèse adaptative (McKenzie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proofErr w:type="gramStart"/>
      <w:r w:rsidRPr="00DD6909">
        <w:rPr>
          <w:rFonts w:asciiTheme="majorBidi" w:hAnsiTheme="majorBidi" w:cstheme="majorBidi"/>
          <w:i/>
          <w:iCs/>
          <w:sz w:val="24"/>
          <w:szCs w:val="24"/>
        </w:rPr>
        <w:t>al</w:t>
      </w:r>
      <w:r w:rsidRPr="00DD6909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DD6909">
        <w:rPr>
          <w:rFonts w:asciiTheme="majorBidi" w:hAnsiTheme="majorBidi" w:cstheme="majorBidi"/>
          <w:sz w:val="24"/>
          <w:szCs w:val="24"/>
        </w:rPr>
        <w:t xml:space="preserve"> 2001) dépendant du régulateur clé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sz w:val="24"/>
          <w:szCs w:val="24"/>
        </w:rPr>
        <w:t xml:space="preserve">phase stationnaire 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RpoS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>, et de la recombinaison homologue (</w:t>
      </w:r>
      <w:proofErr w:type="spellStart"/>
      <w:r w:rsidRPr="00DD6909">
        <w:rPr>
          <w:rFonts w:asciiTheme="majorBidi" w:hAnsiTheme="majorBidi" w:cstheme="majorBidi"/>
          <w:sz w:val="24"/>
          <w:szCs w:val="24"/>
        </w:rPr>
        <w:t>Galhardo</w:t>
      </w:r>
      <w:proofErr w:type="spellEnd"/>
      <w:r w:rsidRPr="00DD6909">
        <w:rPr>
          <w:rFonts w:asciiTheme="majorBidi" w:hAnsiTheme="majorBidi" w:cstheme="majorBidi"/>
          <w:sz w:val="24"/>
          <w:szCs w:val="24"/>
        </w:rPr>
        <w:t xml:space="preserve"> </w:t>
      </w:r>
      <w:r w:rsidRPr="00DD690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DD6909">
        <w:rPr>
          <w:rFonts w:asciiTheme="majorBidi" w:hAnsiTheme="majorBidi" w:cstheme="majorBidi"/>
          <w:sz w:val="24"/>
          <w:szCs w:val="24"/>
        </w:rPr>
        <w:t>., 2009).</w:t>
      </w:r>
    </w:p>
    <w:p w:rsidR="00916764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16764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16764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16764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324475" cy="388620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764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16764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324475" cy="39814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764" w:rsidRPr="00DD6909" w:rsidRDefault="00916764" w:rsidP="00DD690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498127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764" w:rsidRPr="00DD6909" w:rsidSect="00851A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2D" w:rsidRDefault="0066042D" w:rsidP="00013E9F">
      <w:pPr>
        <w:spacing w:after="0" w:line="240" w:lineRule="auto"/>
      </w:pPr>
      <w:r>
        <w:separator/>
      </w:r>
    </w:p>
  </w:endnote>
  <w:endnote w:type="continuationSeparator" w:id="0">
    <w:p w:rsidR="0066042D" w:rsidRDefault="0066042D" w:rsidP="0001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2D" w:rsidRDefault="0066042D" w:rsidP="00013E9F">
      <w:pPr>
        <w:spacing w:after="0" w:line="240" w:lineRule="auto"/>
      </w:pPr>
      <w:r>
        <w:separator/>
      </w:r>
    </w:p>
  </w:footnote>
  <w:footnote w:type="continuationSeparator" w:id="0">
    <w:p w:rsidR="0066042D" w:rsidRDefault="0066042D" w:rsidP="0001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E9F" w:rsidRDefault="00013E9F">
    <w:pPr>
      <w:pStyle w:val="En-tte"/>
    </w:pPr>
    <w:r>
      <w:t xml:space="preserve">                                                                                                                                        BIOLOGIE MOLECULAIRE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909"/>
    <w:rsid w:val="00013E9F"/>
    <w:rsid w:val="0066042D"/>
    <w:rsid w:val="0082118C"/>
    <w:rsid w:val="00851A6C"/>
    <w:rsid w:val="00885E6A"/>
    <w:rsid w:val="00916764"/>
    <w:rsid w:val="00DD6909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682E8-7587-4D36-AE7A-474A23C6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7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1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E9F"/>
  </w:style>
  <w:style w:type="paragraph" w:styleId="Pieddepage">
    <w:name w:val="footer"/>
    <w:basedOn w:val="Normal"/>
    <w:link w:val="PieddepageCar"/>
    <w:uiPriority w:val="99"/>
    <w:unhideWhenUsed/>
    <w:rsid w:val="0001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Utilisateur Windows</cp:lastModifiedBy>
  <cp:revision>3</cp:revision>
  <dcterms:created xsi:type="dcterms:W3CDTF">2019-02-20T08:35:00Z</dcterms:created>
  <dcterms:modified xsi:type="dcterms:W3CDTF">2020-09-09T06:57:00Z</dcterms:modified>
</cp:coreProperties>
</file>