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16" w:rsidRDefault="003F0D16" w:rsidP="003F0D16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</w:pPr>
    </w:p>
    <w:p w:rsidR="003F0D16" w:rsidRDefault="003F0D16" w:rsidP="003F0D16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</w:pPr>
      <w:r>
        <w:rPr>
          <w:rFonts w:ascii="Traditional Arabic" w:eastAsia="Times New Roman" w:hAnsi="Traditional Arabic" w:cs="Traditional Arabic"/>
          <w:noProof/>
          <w:color w:val="000000"/>
          <w:sz w:val="32"/>
          <w:szCs w:val="32"/>
          <w:rtl/>
        </w:rPr>
        <w:pict>
          <v:rect id="_x0000_s1026" style="position:absolute;left:0;text-align:left;margin-left:14.65pt;margin-top:-11.5pt;width:455.25pt;height:79.5pt;z-index:251658240" fillcolor="#eaf1dd [662]">
            <v:textbox style="mso-next-textbox:#_x0000_s1026">
              <w:txbxContent>
                <w:p w:rsidR="003F0D16" w:rsidRDefault="003F0D16" w:rsidP="003F0D16">
                  <w:pPr>
                    <w:bidi/>
                    <w:spacing w:after="0"/>
                    <w:jc w:val="center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المحور 7: تطبيقات البنيوية التكوينية في</w:t>
                  </w:r>
                  <w:r>
                    <w:rPr>
                      <w:rFonts w:ascii="Traditional Arabic" w:hAnsi="Traditional Arabic" w:cs="Traditional Arabic" w:hint="cs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النقد العربي.</w:t>
                  </w:r>
                </w:p>
                <w:p w:rsidR="003F0D16" w:rsidRDefault="003F0D16" w:rsidP="003F0D16">
                  <w:pPr>
                    <w:bidi/>
                    <w:spacing w:after="0"/>
                    <w:jc w:val="center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 xml:space="preserve"> تجربة "</w:t>
                  </w:r>
                  <w:r w:rsidRPr="00D96111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محمد بنيس</w:t>
                  </w:r>
                  <w:r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 xml:space="preserve">" في كتاب ( ظاهرة الشعر المعاصر في المغرب -مقاربة 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بنيوبة</w:t>
                  </w:r>
                  <w:proofErr w:type="spellEnd"/>
                  <w:r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 xml:space="preserve"> تكوينية) </w:t>
                  </w:r>
                </w:p>
                <w:p w:rsidR="003F0D16" w:rsidRDefault="003F0D16" w:rsidP="003F0D16">
                  <w:pPr>
                    <w:bidi/>
                    <w:jc w:val="center"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</w:rPr>
                  </w:pPr>
                </w:p>
                <w:p w:rsidR="003F0D16" w:rsidRPr="00680DF6" w:rsidRDefault="003F0D16" w:rsidP="003F0D16">
                  <w:pPr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3F0D16" w:rsidRDefault="003F0D16" w:rsidP="003F0D16">
                  <w:pPr>
                    <w:bidi/>
                    <w:jc w:val="center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</w:p>
                <w:p w:rsidR="003F0D16" w:rsidRDefault="003F0D16" w:rsidP="003F0D16"/>
              </w:txbxContent>
            </v:textbox>
          </v:rect>
        </w:pict>
      </w:r>
    </w:p>
    <w:p w:rsidR="003F0D16" w:rsidRDefault="003F0D16" w:rsidP="003F0D16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</w:pPr>
    </w:p>
    <w:p w:rsidR="003F0D16" w:rsidRDefault="003F0D16" w:rsidP="003F0D16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</w:t>
      </w:r>
    </w:p>
    <w:p w:rsidR="003F0D16" w:rsidRPr="004F06AE" w:rsidRDefault="003F0D16" w:rsidP="003F0D16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  </w:t>
      </w:r>
      <w:r w:rsidRPr="004F06AE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</w:rPr>
        <w:t xml:space="preserve">تقديم :  </w:t>
      </w:r>
    </w:p>
    <w:p w:rsidR="003F0D16" w:rsidRDefault="003F0D16" w:rsidP="003F0D16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بين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محمد بنيس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في المقدمة المنهجية أنه اعتمد المنهج البنيوي التكويني لأنه يرى فيه الأداة الضرورية التي تمكنه من مقاربة النص الأدبي مقاربة علمية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فقد اقتنع "بالبنيوية التكوينية كجواب مركزي على منهج القراءة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حيث أن كل قراءة علمية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بنيوية تكوينية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للنص الأدبي يجب أن تتم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من داخل المجتمع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ما دام الفكر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وال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إبداع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جزءا من الحياة الاجتماعية ".</w:t>
      </w:r>
    </w:p>
    <w:p w:rsidR="003F0D16" w:rsidRPr="004F06AE" w:rsidRDefault="003F0D16" w:rsidP="003F0D16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   </w:t>
      </w:r>
      <w:r w:rsidRPr="004F06AE"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 xml:space="preserve">التصور المنهجي والاشتغال 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>:</w:t>
      </w:r>
    </w:p>
    <w:p w:rsidR="003F0D16" w:rsidRPr="003F1A61" w:rsidRDefault="003F0D16" w:rsidP="003F0D16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يؤكد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"</w:t>
      </w:r>
      <w:r w:rsidRPr="003F1A61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محمد بنيس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على أن المنهج البنيوي لا ينحصر في  دراسة المضمون دون الشكل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بل إنه يعت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بره المنطلق الأساس لدراستهما له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انطلاق الباحث من البنية السطحية ليحفر في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ما بعد في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البنية العميقة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أي انطلق من المعلوم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إلى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المجهول "للكشف عن القوانين التي تحكم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ال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بنيتين السطحية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والعميقة للمتن  بعيدا عن مفهوم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(</w:t>
      </w:r>
      <w:proofErr w:type="spellStart"/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تشومسكي</w:t>
      </w:r>
      <w:proofErr w:type="spellEnd"/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)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لهذين المصطلحين".</w:t>
      </w:r>
    </w:p>
    <w:p w:rsidR="003F0D16" w:rsidRPr="003F1A61" w:rsidRDefault="003F0D16" w:rsidP="003F0D16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   حاول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محمد بنيس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في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-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بيانه المنهج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ي-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أن يقدم مبرراته المنهجية التي دفعته إلى اختيار البنيوية التكوينية لمقاربة الظاهرة الشعرية المعاصرة في المغرب. فذكر منها انغلاق البنيوية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(</w:t>
      </w:r>
      <w:proofErr w:type="spellStart"/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الشكلانية</w:t>
      </w:r>
      <w:proofErr w:type="spellEnd"/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)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على نفسها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مما جعل بعض ا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لا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تجاهات النقدية ترفض الانسياق وراءها . غير أن ما يلفت الانتباه أن الباحث أسهب في القول عن المنهجين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(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البنيوية الشكلية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)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(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الاجتماعي الجدلي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)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مما يعطي الانطباع لأول وهلة  أن مقاربة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ظاهرة الشعر المعاصر في المغرب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كانت في ضوء المنهجين السالف ذكرهما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وكان من المفروض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أن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يخوض الباحث في عرض البنيوية التكوينية بوصفها المنهج المركزي الذي صرح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ب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الاعتماد عليه في هذه المقاربة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.</w:t>
      </w:r>
    </w:p>
    <w:p w:rsidR="003F0D16" w:rsidRPr="003F1A61" w:rsidRDefault="003F0D16" w:rsidP="003F0D16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   ومن هنا نقول أن الباحث رأى منهجي في المنهجين  البنيوي الشكلي  والاجتماعي الجدلي بديلا عن المنهج البنيوي التكويني وهذا ما يؤكده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محمد بنيس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نفسه في قوله" إن اختيار التيار الاجتماعي الجدلي يؤمن قطعا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ب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أن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التحليل داخلي للعمل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الأدبي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لن يوصلنا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إلى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القبض على الدلالة المركزية للنص أي الكشف عن الرؤية"</w:t>
      </w:r>
    </w:p>
    <w:p w:rsidR="003F0D16" w:rsidRPr="003F1A61" w:rsidRDefault="003F0D16" w:rsidP="003F0D16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 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 ويعتقد صادقا  ب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أ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ن الطرائق </w:t>
      </w:r>
      <w:proofErr w:type="spellStart"/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الشكلانية</w:t>
      </w:r>
      <w:proofErr w:type="spellEnd"/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والبنيوية تحول  النقد الموضوعي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إلى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مجرد تحليل وصفي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ذي آفاق ضيقة لا تستوعب ما يتحرك خلف البنيات اللغوية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.</w:t>
      </w:r>
    </w:p>
    <w:p w:rsidR="003F0D16" w:rsidRPr="003F1A61" w:rsidRDefault="003F0D16" w:rsidP="003F0D16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  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وإذا كان المنهج الاجتماعي لم يمكن الباحث من القبض على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(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البنية العميقة الدالة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)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أ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ن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المنهج البنيوي الشكلي لا يساعد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على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استيعاب البنيات اللغوية . فإن الباحث يوهمنا بالفهم بأن الجمع بين المنهجين هو السبيل الموصل إلى بر الأمان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.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وإن كان قد أشار إلى بعض مبادئ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proofErr w:type="spellStart"/>
      <w:r w:rsidRPr="003F1A61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جولدمان</w:t>
      </w:r>
      <w:proofErr w:type="spellEnd"/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فإن المنظور الاجتماعي التقليدي كان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lastRenderedPageBreak/>
        <w:t>المهيمن على المنظور البنيوي التكويني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ما يعطي الانطباع على أن التلفيق المنهجي كان سيد الموقف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.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وهذا ما كشف عنه أيضا الباحث المغربي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محمد </w:t>
      </w:r>
      <w:proofErr w:type="spellStart"/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خرماش</w:t>
      </w:r>
      <w:proofErr w:type="spellEnd"/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حيث قال" وقد دفعه هذا التلفيق المنهجي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إلى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نوع من الفصل بين الجدلية العامة التي تقود النص من الخارج. والجدلية الخاصة التي تقود قوانينه  الداخلي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ة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. وتمس عالم الكتابة متناسيا في ذلك نظرية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proofErr w:type="spellStart"/>
      <w:r w:rsidRPr="003F1A61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جولدمان</w:t>
      </w:r>
      <w:proofErr w:type="spellEnd"/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في أن كل تبنين داخلي هو </w:t>
      </w:r>
      <w:proofErr w:type="spellStart"/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سيرورة</w:t>
      </w:r>
      <w:proofErr w:type="spellEnd"/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في التشكل نحو درجة عالية من التجانس والتآلف في بلورة رؤية للعالم تتمثل وعي المجموعة الاجتماعية التي هي الذات الفاعلة جدليا . والمبدع الحقيقي في نهاية المطاف"</w:t>
      </w:r>
    </w:p>
    <w:p w:rsidR="003F0D16" w:rsidRPr="003F1A61" w:rsidRDefault="003F0D16" w:rsidP="003F0D16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 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 وهناك مسألة أخرى تتصل بالمنه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ج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الذي اعتمده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محمد بنيس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وهي عدم تقيده بما هو منظومة متكاملة من مبادئ ومفاهيم وأدوات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إجرائية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وإن كان الباحث قد أشار إلى مبدأين من مبادئ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proofErr w:type="spellStart"/>
      <w:r w:rsidRPr="003F1A61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غولدمان</w:t>
      </w:r>
      <w:proofErr w:type="spellEnd"/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أولهما "أن كل  تأمل في العلوم  الإنسانية يحدث لا من خارج المجتمع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بل إن هذا التأمل جزء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...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من الحياة الثقافية لهذا المجتمع . ومن خلالها الحياة الاجتماعية العامة"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،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وثانيها "أن الفكرة الأساسية لكل علم اجتماع جدلي تكويني هي أن الأفعال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الإنسانية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هي أجوبة شخص فردي جماعي".</w:t>
      </w:r>
    </w:p>
    <w:p w:rsidR="003F0D16" w:rsidRPr="003F1A61" w:rsidRDefault="003F0D16" w:rsidP="003F0D16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    نستدل من قائمة المصادر والمراجع العربية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والأجنبية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المثبتة في خاتمة البحث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أن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محمد بنيس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لم يعمق تصوره المنهجي في دراسته المنهج التكويني. وهذا تفسير يؤكد بوضوح أسباب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إهماله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لكثير من المفاهيم  الأساسية </w:t>
      </w:r>
      <w:proofErr w:type="spellStart"/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المؤطرة</w:t>
      </w:r>
      <w:proofErr w:type="spellEnd"/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للمنظومة المنهجية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التكوينية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.  فلم يذكر الباحث إلا مرجعا واحدا من مراجع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proofErr w:type="spellStart"/>
      <w:r w:rsidRPr="003F1A61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جولدمان</w:t>
      </w:r>
      <w:proofErr w:type="spellEnd"/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وهو (</w:t>
      </w:r>
      <w:r w:rsidRPr="003F1A61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الفلسفة والعلوم الإنسانية) .</w:t>
      </w:r>
    </w:p>
    <w:p w:rsidR="003F0D16" w:rsidRPr="003F1A61" w:rsidRDefault="003F0D16" w:rsidP="003F0D16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   حاول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محمد بنيس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أن ينسج منهجه على من منو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ا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ل المنهج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proofErr w:type="spellStart"/>
      <w:r w:rsidRPr="00D070EA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الجولد</w:t>
      </w:r>
      <w:r w:rsidRPr="003F1A61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ماني</w:t>
      </w:r>
      <w:proofErr w:type="spellEnd"/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حيث انطلق من مرحلة (الفهم)  التي تجسدت في تحليله للمتن الشعري المعاصر في المغرب في عدة مستويات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فقرأ البنية السطحية للمتن الشعري قراءة لغوية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(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عروضية لسانية دلالية ) 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 ليصل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إلى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الوحدات الدالة (البنية الجزئية )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التي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أ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دمجها في بنية أكثر اتساعا من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الأولى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و(البنية العميقة) التي اعتبرها الباحث في منزله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(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الرؤية للعالم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)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. وكما هو واضح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أ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ن الباحث انطلق من المعلوم ليقف عند ما هو مجهول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.</w:t>
      </w:r>
    </w:p>
    <w:p w:rsidR="003F0D16" w:rsidRDefault="003F0D16" w:rsidP="003F0D16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</w:pP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   أما مرحلة التفسير التي اصطلح عليها الباحث [خارج داخلي] 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ل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يدل على "بنية أكثر اتساعا من الثانية حيث النص الغائب الذي يستحيل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إلغاؤه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ونحصل من خلاله على مستويات من علاقات الاختلاف والائتلاف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ولكن هذا الخارج الداخلي يتمثل في البعد الاجتماعي الجدلي للمتن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أيضا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"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.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     </w:t>
      </w:r>
    </w:p>
    <w:p w:rsidR="003F0D16" w:rsidRPr="003F1A61" w:rsidRDefault="003F0D16" w:rsidP="003F0D16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  </w:t>
      </w:r>
      <w:r w:rsidRPr="004F06AE"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 xml:space="preserve">خاتمة </w:t>
      </w:r>
      <w:r w:rsidRPr="003F1A61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  </w:t>
      </w:r>
    </w:p>
    <w:p w:rsidR="003F0D16" w:rsidRDefault="003F0D16" w:rsidP="003F0D16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</w:pP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  ويمكن القول في نهاية الأمر أن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محمد بنيس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قد وجد ضالته المنهجية في مرحلتي الفهم والتفسير اللتين يركز عليهما بوصفهما 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إجرا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ء</w:t>
      </w:r>
      <w:r w:rsidRPr="003F1A6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ين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ضروريين في تطبيقات البنيوية التكوينية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، 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أكثر منهما مفهومين أو مقولتين تأسيسيتين في منظومتها المتكاملة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،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وربما كان تمثله المنهجي نسج على منوال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"</w:t>
      </w:r>
      <w:proofErr w:type="spellStart"/>
      <w:r w:rsidRPr="003F1A61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جولدمان</w:t>
      </w:r>
      <w:proofErr w:type="spellEnd"/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</w:rPr>
        <w:t>"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في كتابه "</w:t>
      </w:r>
      <w:r w:rsidRPr="003F1A61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  <w:t>الإله الخفي</w:t>
      </w:r>
      <w:r w:rsidRPr="003F1A61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 ".</w:t>
      </w:r>
    </w:p>
    <w:p w:rsidR="003F0D16" w:rsidRDefault="003F0D16" w:rsidP="003F0D16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</w:pPr>
    </w:p>
    <w:p w:rsidR="0004293F" w:rsidRPr="003F1A61" w:rsidRDefault="0004293F" w:rsidP="003F1A61">
      <w:p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</w:p>
    <w:sectPr w:rsidR="0004293F" w:rsidRPr="003F1A61" w:rsidSect="00042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A61" w:rsidRDefault="003F1A61" w:rsidP="003F1A61">
      <w:pPr>
        <w:spacing w:after="0" w:line="240" w:lineRule="auto"/>
      </w:pPr>
      <w:r>
        <w:separator/>
      </w:r>
    </w:p>
  </w:endnote>
  <w:endnote w:type="continuationSeparator" w:id="1">
    <w:p w:rsidR="003F1A61" w:rsidRDefault="003F1A61" w:rsidP="003F1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A61" w:rsidRDefault="003F1A61" w:rsidP="003F1A61">
      <w:pPr>
        <w:spacing w:after="0" w:line="240" w:lineRule="auto"/>
      </w:pPr>
      <w:r>
        <w:separator/>
      </w:r>
    </w:p>
  </w:footnote>
  <w:footnote w:type="continuationSeparator" w:id="1">
    <w:p w:rsidR="003F1A61" w:rsidRDefault="003F1A61" w:rsidP="003F1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122DA"/>
    <w:multiLevelType w:val="multilevel"/>
    <w:tmpl w:val="BF1E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1A61"/>
    <w:rsid w:val="000334D2"/>
    <w:rsid w:val="0004293F"/>
    <w:rsid w:val="000C4DFD"/>
    <w:rsid w:val="0016697E"/>
    <w:rsid w:val="0024167C"/>
    <w:rsid w:val="002663FD"/>
    <w:rsid w:val="002F63AF"/>
    <w:rsid w:val="0039140A"/>
    <w:rsid w:val="003F0D16"/>
    <w:rsid w:val="003F1A61"/>
    <w:rsid w:val="003F6247"/>
    <w:rsid w:val="004C48F6"/>
    <w:rsid w:val="005C349C"/>
    <w:rsid w:val="00601B69"/>
    <w:rsid w:val="00643052"/>
    <w:rsid w:val="007C445C"/>
    <w:rsid w:val="00856E1F"/>
    <w:rsid w:val="00945387"/>
    <w:rsid w:val="00B6278C"/>
    <w:rsid w:val="00D070EA"/>
    <w:rsid w:val="00E4506D"/>
    <w:rsid w:val="00FA79A8"/>
    <w:rsid w:val="00FD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9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F1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F1A61"/>
  </w:style>
  <w:style w:type="paragraph" w:styleId="Pieddepage">
    <w:name w:val="footer"/>
    <w:basedOn w:val="Normal"/>
    <w:link w:val="PieddepageCar"/>
    <w:uiPriority w:val="99"/>
    <w:semiHidden/>
    <w:unhideWhenUsed/>
    <w:rsid w:val="003F1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F1A61"/>
  </w:style>
  <w:style w:type="paragraph" w:styleId="NormalWeb">
    <w:name w:val="Normal (Web)"/>
    <w:basedOn w:val="Normal"/>
    <w:uiPriority w:val="99"/>
    <w:semiHidden/>
    <w:unhideWhenUsed/>
    <w:rsid w:val="003F1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PACKARDBELL</cp:lastModifiedBy>
  <cp:revision>2</cp:revision>
  <dcterms:created xsi:type="dcterms:W3CDTF">2020-05-10T00:38:00Z</dcterms:created>
  <dcterms:modified xsi:type="dcterms:W3CDTF">2020-05-10T00:38:00Z</dcterms:modified>
</cp:coreProperties>
</file>