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8C" w:rsidRDefault="00D06D8C" w:rsidP="00D06D8C">
      <w:pPr>
        <w:bidi/>
        <w:spacing w:before="100" w:beforeAutospacing="1" w:after="100" w:afterAutospacing="1"/>
        <w:rPr>
          <w:rFonts w:cs="Simplified Arabic" w:hint="cs"/>
          <w:b/>
          <w:bCs/>
          <w:sz w:val="32"/>
          <w:szCs w:val="32"/>
          <w:rtl/>
          <w:lang w:bidi="ar-DZ"/>
        </w:rPr>
      </w:pPr>
      <w:r>
        <w:rPr>
          <w:rFonts w:cs="Simplified Arabic" w:hint="cs"/>
          <w:b/>
          <w:bCs/>
          <w:sz w:val="32"/>
          <w:szCs w:val="32"/>
          <w:rtl/>
          <w:lang w:bidi="ar-DZ"/>
        </w:rPr>
        <w:t>مبادئ التقاضي في النظام القضائي الجزائري طبقا لقانون 08/09 اجراءات مدنية</w:t>
      </w:r>
    </w:p>
    <w:p w:rsidR="00D06D8C" w:rsidRDefault="00D06D8C" w:rsidP="00D06D8C">
      <w:pPr>
        <w:bidi/>
        <w:spacing w:before="100" w:beforeAutospacing="1" w:after="100" w:afterAutospacing="1"/>
        <w:rPr>
          <w:rFonts w:cs="Simplified Arabic" w:hint="cs"/>
          <w:b/>
          <w:bCs/>
          <w:sz w:val="32"/>
          <w:szCs w:val="32"/>
          <w:rtl/>
          <w:lang w:bidi="ar-DZ"/>
        </w:rPr>
      </w:pPr>
      <w:r>
        <w:rPr>
          <w:rFonts w:cs="Simplified Arabic" w:hint="cs"/>
          <w:b/>
          <w:bCs/>
          <w:sz w:val="32"/>
          <w:szCs w:val="32"/>
          <w:rtl/>
          <w:lang w:bidi="ar-DZ"/>
        </w:rPr>
        <w:t>مقدمة:</w:t>
      </w:r>
    </w:p>
    <w:p w:rsidR="00D06D8C" w:rsidRDefault="00D06D8C" w:rsidP="00D06D8C">
      <w:pPr>
        <w:bidi/>
        <w:spacing w:after="100" w:afterAutospacing="1"/>
        <w:ind w:firstLine="720"/>
        <w:jc w:val="both"/>
        <w:rPr>
          <w:rFonts w:cs="Simplified Arabic" w:hint="cs"/>
          <w:sz w:val="32"/>
          <w:szCs w:val="32"/>
          <w:rtl/>
        </w:rPr>
      </w:pPr>
      <w:r w:rsidRPr="00731024">
        <w:rPr>
          <w:rFonts w:cs="Simplified Arabic" w:hint="cs"/>
          <w:sz w:val="32"/>
          <w:szCs w:val="32"/>
          <w:rtl/>
        </w:rPr>
        <w:t xml:space="preserve">    </w:t>
      </w:r>
      <w:r>
        <w:rPr>
          <w:rFonts w:cs="Simplified Arabic" w:hint="cs"/>
          <w:sz w:val="32"/>
          <w:szCs w:val="32"/>
          <w:rtl/>
        </w:rPr>
        <w:t>إن</w:t>
      </w:r>
      <w:r w:rsidRPr="00731024">
        <w:rPr>
          <w:rFonts w:cs="Simplified Arabic" w:hint="cs"/>
          <w:sz w:val="32"/>
          <w:szCs w:val="32"/>
          <w:rtl/>
        </w:rPr>
        <w:t xml:space="preserve"> الدولة </w:t>
      </w:r>
      <w:bookmarkStart w:id="0" w:name="_GoBack"/>
      <w:r w:rsidRPr="00731024">
        <w:rPr>
          <w:rFonts w:cs="Simplified Arabic" w:hint="cs"/>
          <w:sz w:val="32"/>
          <w:szCs w:val="32"/>
          <w:rtl/>
        </w:rPr>
        <w:t xml:space="preserve">الحديثة </w:t>
      </w:r>
      <w:bookmarkEnd w:id="0"/>
      <w:r w:rsidRPr="00731024">
        <w:rPr>
          <w:rFonts w:cs="Simplified Arabic" w:hint="cs"/>
          <w:sz w:val="32"/>
          <w:szCs w:val="32"/>
          <w:rtl/>
        </w:rPr>
        <w:t>أعطت للفرد الحق</w:t>
      </w:r>
      <w:r>
        <w:rPr>
          <w:rFonts w:cs="Simplified Arabic" w:hint="cs"/>
          <w:sz w:val="32"/>
          <w:szCs w:val="32"/>
          <w:rtl/>
        </w:rPr>
        <w:t xml:space="preserve"> في اللجوء إلى القضاء، ذلك أنه قبل </w:t>
      </w:r>
      <w:r w:rsidRPr="00731024">
        <w:rPr>
          <w:rFonts w:cs="Simplified Arabic" w:hint="cs"/>
          <w:sz w:val="32"/>
          <w:szCs w:val="32"/>
          <w:rtl/>
        </w:rPr>
        <w:t>وج</w:t>
      </w:r>
      <w:r>
        <w:rPr>
          <w:rFonts w:cs="Simplified Arabic" w:hint="cs"/>
          <w:sz w:val="32"/>
          <w:szCs w:val="32"/>
          <w:rtl/>
        </w:rPr>
        <w:t>ود الدولة لم يكن هناك قضاء،</w:t>
      </w:r>
      <w:r w:rsidRPr="00731024">
        <w:rPr>
          <w:rFonts w:cs="Simplified Arabic" w:hint="cs"/>
          <w:sz w:val="32"/>
          <w:szCs w:val="32"/>
          <w:rtl/>
        </w:rPr>
        <w:t xml:space="preserve"> </w:t>
      </w:r>
      <w:r>
        <w:rPr>
          <w:rFonts w:cs="Simplified Arabic" w:hint="cs"/>
          <w:sz w:val="32"/>
          <w:szCs w:val="32"/>
          <w:rtl/>
        </w:rPr>
        <w:t xml:space="preserve">حيث كان كل شخص يقتض لنفسه بنفسه، </w:t>
      </w:r>
      <w:r w:rsidRPr="00731024">
        <w:rPr>
          <w:rFonts w:cs="Simplified Arabic" w:hint="cs"/>
          <w:sz w:val="32"/>
          <w:szCs w:val="32"/>
          <w:rtl/>
        </w:rPr>
        <w:t xml:space="preserve">و لكن </w:t>
      </w:r>
      <w:r>
        <w:rPr>
          <w:rFonts w:cs="Simplified Arabic" w:hint="cs"/>
          <w:sz w:val="32"/>
          <w:szCs w:val="32"/>
          <w:rtl/>
        </w:rPr>
        <w:t>بظهور</w:t>
      </w:r>
      <w:r w:rsidRPr="00731024">
        <w:rPr>
          <w:rFonts w:cs="Simplified Arabic" w:hint="cs"/>
          <w:sz w:val="32"/>
          <w:szCs w:val="32"/>
          <w:rtl/>
        </w:rPr>
        <w:t xml:space="preserve"> الدولة و ق</w:t>
      </w:r>
      <w:r>
        <w:rPr>
          <w:rFonts w:cs="Simplified Arabic" w:hint="cs"/>
          <w:sz w:val="32"/>
          <w:szCs w:val="32"/>
          <w:rtl/>
        </w:rPr>
        <w:t>يام</w:t>
      </w:r>
      <w:r w:rsidRPr="00731024">
        <w:rPr>
          <w:rFonts w:cs="Simplified Arabic" w:hint="cs"/>
          <w:sz w:val="32"/>
          <w:szCs w:val="32"/>
          <w:rtl/>
        </w:rPr>
        <w:t xml:space="preserve"> مؤسساتها </w:t>
      </w:r>
      <w:r>
        <w:rPr>
          <w:rFonts w:cs="Simplified Arabic" w:hint="cs"/>
          <w:sz w:val="32"/>
          <w:szCs w:val="32"/>
          <w:rtl/>
        </w:rPr>
        <w:t>و</w:t>
      </w:r>
      <w:r w:rsidRPr="00731024">
        <w:rPr>
          <w:rFonts w:cs="Simplified Arabic" w:hint="cs"/>
          <w:sz w:val="32"/>
          <w:szCs w:val="32"/>
          <w:rtl/>
        </w:rPr>
        <w:t xml:space="preserve">احتراما للحقوق كان لابد من إقامة القضاء لحماية </w:t>
      </w:r>
      <w:r>
        <w:rPr>
          <w:rFonts w:cs="Simplified Arabic" w:hint="cs"/>
          <w:sz w:val="32"/>
          <w:szCs w:val="32"/>
          <w:rtl/>
        </w:rPr>
        <w:t>الأشخاص، سواء تعلق الأمر ب</w:t>
      </w:r>
      <w:r w:rsidRPr="00731024">
        <w:rPr>
          <w:rFonts w:cs="Simplified Arabic" w:hint="cs"/>
          <w:sz w:val="32"/>
          <w:szCs w:val="32"/>
          <w:rtl/>
        </w:rPr>
        <w:t xml:space="preserve">الحق الموضوعي أو المركز القانوني، و لما كان القضاء لا يفتح أبوابه لمن هب و دب و لا يثير القضايا من تلقاء نفسه (لو تدخل من تلقاء نفسه يعتبر تجاوز للسلطة) فلابد أن يطالب الفرد من القضاء طلبا ما ( لا يحكم القاضي إلا </w:t>
      </w:r>
      <w:r>
        <w:rPr>
          <w:rFonts w:cs="Simplified Arabic" w:hint="cs"/>
          <w:sz w:val="32"/>
          <w:szCs w:val="32"/>
          <w:rtl/>
        </w:rPr>
        <w:t>ب</w:t>
      </w:r>
      <w:r w:rsidRPr="00731024">
        <w:rPr>
          <w:rFonts w:cs="Simplified Arabic" w:hint="cs"/>
          <w:sz w:val="32"/>
          <w:szCs w:val="32"/>
          <w:rtl/>
        </w:rPr>
        <w:t>ما يطلب م</w:t>
      </w:r>
      <w:r>
        <w:rPr>
          <w:rFonts w:cs="Simplified Arabic" w:hint="cs"/>
          <w:sz w:val="32"/>
          <w:szCs w:val="32"/>
          <w:rtl/>
        </w:rPr>
        <w:t>نه) فيجب على الفرد تحديد طلباته.</w:t>
      </w:r>
    </w:p>
    <w:p w:rsidR="00D06D8C" w:rsidRPr="00731024" w:rsidRDefault="00D06D8C" w:rsidP="00D06D8C">
      <w:pPr>
        <w:bidi/>
        <w:spacing w:after="100" w:afterAutospacing="1"/>
        <w:ind w:firstLine="720"/>
        <w:jc w:val="both"/>
        <w:rPr>
          <w:rFonts w:cs="Simplified Arabic" w:hint="cs"/>
          <w:sz w:val="32"/>
          <w:szCs w:val="32"/>
          <w:rtl/>
        </w:rPr>
      </w:pPr>
      <w:r w:rsidRPr="00731024">
        <w:rPr>
          <w:rFonts w:cs="Simplified Arabic" w:hint="cs"/>
          <w:sz w:val="32"/>
          <w:szCs w:val="32"/>
          <w:rtl/>
        </w:rPr>
        <w:t xml:space="preserve"> و </w:t>
      </w:r>
      <w:proofErr w:type="gramStart"/>
      <w:r w:rsidRPr="00731024">
        <w:rPr>
          <w:rFonts w:cs="Simplified Arabic" w:hint="cs"/>
          <w:sz w:val="32"/>
          <w:szCs w:val="32"/>
          <w:rtl/>
        </w:rPr>
        <w:t>عليه</w:t>
      </w:r>
      <w:proofErr w:type="gramEnd"/>
      <w:r w:rsidRPr="00731024">
        <w:rPr>
          <w:rFonts w:cs="Simplified Arabic" w:hint="cs"/>
          <w:sz w:val="32"/>
          <w:szCs w:val="32"/>
          <w:rtl/>
        </w:rPr>
        <w:t xml:space="preserve"> فالفرد إذا استعمل حقه في </w:t>
      </w:r>
      <w:r>
        <w:rPr>
          <w:rFonts w:cs="Simplified Arabic" w:hint="cs"/>
          <w:sz w:val="32"/>
          <w:szCs w:val="32"/>
          <w:rtl/>
        </w:rPr>
        <w:t>طلب</w:t>
      </w:r>
      <w:r w:rsidRPr="00731024">
        <w:rPr>
          <w:rFonts w:cs="Simplified Arabic" w:hint="cs"/>
          <w:sz w:val="32"/>
          <w:szCs w:val="32"/>
          <w:rtl/>
        </w:rPr>
        <w:t xml:space="preserve"> الحماية القضائية </w:t>
      </w:r>
      <w:r>
        <w:rPr>
          <w:rFonts w:cs="Simplified Arabic" w:hint="cs"/>
          <w:sz w:val="32"/>
          <w:szCs w:val="32"/>
          <w:rtl/>
        </w:rPr>
        <w:t>ل</w:t>
      </w:r>
      <w:r w:rsidRPr="00731024">
        <w:rPr>
          <w:rFonts w:cs="Simplified Arabic" w:hint="cs"/>
          <w:sz w:val="32"/>
          <w:szCs w:val="32"/>
          <w:rtl/>
        </w:rPr>
        <w:t xml:space="preserve">لحق أو المركز القانوني فهذا الشخص </w:t>
      </w:r>
      <w:r>
        <w:rPr>
          <w:rFonts w:cs="Simplified Arabic" w:hint="cs"/>
          <w:sz w:val="32"/>
          <w:szCs w:val="32"/>
          <w:rtl/>
        </w:rPr>
        <w:t>يقوم</w:t>
      </w:r>
      <w:r w:rsidRPr="00731024">
        <w:rPr>
          <w:rFonts w:cs="Simplified Arabic" w:hint="cs"/>
          <w:sz w:val="32"/>
          <w:szCs w:val="32"/>
          <w:rtl/>
        </w:rPr>
        <w:t xml:space="preserve"> ب</w:t>
      </w:r>
      <w:r>
        <w:rPr>
          <w:rFonts w:cs="Simplified Arabic" w:hint="cs"/>
          <w:sz w:val="32"/>
          <w:szCs w:val="32"/>
          <w:rtl/>
        </w:rPr>
        <w:t xml:space="preserve">رفع </w:t>
      </w:r>
      <w:r w:rsidRPr="00731024">
        <w:rPr>
          <w:rFonts w:cs="Simplified Arabic" w:hint="cs"/>
          <w:sz w:val="32"/>
          <w:szCs w:val="32"/>
          <w:rtl/>
        </w:rPr>
        <w:t>دعوى قضائية، و عليه يمكن طرح التساؤل التالي: ماذا نقصد بالدعوى القضائية و ما</w:t>
      </w:r>
      <w:r>
        <w:rPr>
          <w:rFonts w:cs="Simplified Arabic" w:hint="cs"/>
          <w:sz w:val="32"/>
          <w:szCs w:val="32"/>
          <w:rtl/>
        </w:rPr>
        <w:t xml:space="preserve"> </w:t>
      </w:r>
      <w:r w:rsidRPr="00731024">
        <w:rPr>
          <w:rFonts w:cs="Simplified Arabic" w:hint="cs"/>
          <w:sz w:val="32"/>
          <w:szCs w:val="32"/>
          <w:rtl/>
        </w:rPr>
        <w:t xml:space="preserve">هي الطبيعة القانونية التي تتميز بها ؟ و </w:t>
      </w:r>
      <w:r>
        <w:rPr>
          <w:rFonts w:cs="Simplified Arabic" w:hint="cs"/>
          <w:sz w:val="32"/>
          <w:szCs w:val="32"/>
          <w:rtl/>
        </w:rPr>
        <w:t xml:space="preserve">هل يمكن رفع الدعوى القضائية </w:t>
      </w:r>
      <w:proofErr w:type="gramStart"/>
      <w:r>
        <w:rPr>
          <w:rFonts w:cs="Simplified Arabic" w:hint="cs"/>
          <w:sz w:val="32"/>
          <w:szCs w:val="32"/>
          <w:rtl/>
        </w:rPr>
        <w:t>من</w:t>
      </w:r>
      <w:proofErr w:type="gramEnd"/>
      <w:r>
        <w:rPr>
          <w:rFonts w:cs="Simplified Arabic" w:hint="cs"/>
          <w:sz w:val="32"/>
          <w:szCs w:val="32"/>
          <w:rtl/>
        </w:rPr>
        <w:t xml:space="preserve"> طرف أي شخص؟ و</w:t>
      </w:r>
      <w:r w:rsidRPr="00731024">
        <w:rPr>
          <w:rFonts w:cs="Simplified Arabic" w:hint="cs"/>
          <w:sz w:val="32"/>
          <w:szCs w:val="32"/>
          <w:rtl/>
        </w:rPr>
        <w:t>ما</w:t>
      </w:r>
      <w:r>
        <w:rPr>
          <w:rFonts w:cs="Simplified Arabic" w:hint="cs"/>
          <w:sz w:val="32"/>
          <w:szCs w:val="32"/>
          <w:rtl/>
        </w:rPr>
        <w:t xml:space="preserve"> </w:t>
      </w:r>
      <w:r w:rsidRPr="00731024">
        <w:rPr>
          <w:rFonts w:cs="Simplified Arabic" w:hint="cs"/>
          <w:sz w:val="32"/>
          <w:szCs w:val="32"/>
          <w:rtl/>
        </w:rPr>
        <w:t xml:space="preserve">هي الشروط الواجب توفرها </w:t>
      </w:r>
      <w:proofErr w:type="gramStart"/>
      <w:r w:rsidRPr="00731024">
        <w:rPr>
          <w:rFonts w:cs="Simplified Arabic" w:hint="cs"/>
          <w:sz w:val="32"/>
          <w:szCs w:val="32"/>
          <w:rtl/>
        </w:rPr>
        <w:t>حتى</w:t>
      </w:r>
      <w:proofErr w:type="gramEnd"/>
      <w:r w:rsidRPr="00731024">
        <w:rPr>
          <w:rFonts w:cs="Simplified Arabic" w:hint="cs"/>
          <w:sz w:val="32"/>
          <w:szCs w:val="32"/>
          <w:rtl/>
        </w:rPr>
        <w:t xml:space="preserve"> نكون أمام دعوى قضائية</w:t>
      </w:r>
      <w:r>
        <w:rPr>
          <w:rFonts w:cs="Simplified Arabic" w:hint="cs"/>
          <w:sz w:val="32"/>
          <w:szCs w:val="32"/>
          <w:rtl/>
        </w:rPr>
        <w:t xml:space="preserve"> مقبولة</w:t>
      </w:r>
      <w:r w:rsidRPr="00731024">
        <w:rPr>
          <w:rFonts w:cs="Simplified Arabic" w:hint="cs"/>
          <w:sz w:val="32"/>
          <w:szCs w:val="32"/>
          <w:rtl/>
        </w:rPr>
        <w:t xml:space="preserve">؟ </w:t>
      </w:r>
    </w:p>
    <w:p w:rsidR="00D06D8C" w:rsidRPr="00731024" w:rsidRDefault="00D06D8C" w:rsidP="00D06D8C">
      <w:pPr>
        <w:bidi/>
        <w:spacing w:after="100" w:afterAutospacing="1"/>
        <w:ind w:firstLine="720"/>
        <w:jc w:val="both"/>
        <w:rPr>
          <w:rFonts w:cs="Simplified Arabic" w:hint="cs"/>
          <w:sz w:val="32"/>
          <w:szCs w:val="32"/>
          <w:rtl/>
        </w:rPr>
      </w:pPr>
      <w:r>
        <w:rPr>
          <w:rFonts w:cs="Simplified Arabic" w:hint="cs"/>
          <w:sz w:val="32"/>
          <w:szCs w:val="32"/>
          <w:rtl/>
        </w:rPr>
        <w:t>وللإجابة على هاته التساؤلات</w:t>
      </w:r>
      <w:r w:rsidRPr="00731024">
        <w:rPr>
          <w:rFonts w:cs="Simplified Arabic" w:hint="cs"/>
          <w:sz w:val="32"/>
          <w:szCs w:val="32"/>
          <w:rtl/>
        </w:rPr>
        <w:t xml:space="preserve"> اعتمدنا لدراسة هذا الموضوع المنهج الوصفي التحليلي ، فالمنهج الوصفي لاستقص</w:t>
      </w:r>
      <w:r>
        <w:rPr>
          <w:rFonts w:cs="Simplified Arabic" w:hint="cs"/>
          <w:sz w:val="32"/>
          <w:szCs w:val="32"/>
          <w:rtl/>
        </w:rPr>
        <w:t>اء النظريات التي قيلت في الدعوى</w:t>
      </w:r>
      <w:r w:rsidRPr="00731024">
        <w:rPr>
          <w:rFonts w:cs="Simplified Arabic" w:hint="cs"/>
          <w:sz w:val="32"/>
          <w:szCs w:val="32"/>
          <w:rtl/>
        </w:rPr>
        <w:t xml:space="preserve">، أما المنهج التحليلي من خلال تحليل النصوص المتعلقة بشروط قبول الدعوى وفقا لقانون الإجراءات المدنية و الإدارية الجديد .  </w:t>
      </w:r>
    </w:p>
    <w:p w:rsidR="00D06D8C" w:rsidRPr="00731024" w:rsidRDefault="00D06D8C" w:rsidP="00D06D8C">
      <w:pPr>
        <w:bidi/>
        <w:spacing w:after="100" w:afterAutospacing="1"/>
        <w:ind w:firstLine="720"/>
        <w:jc w:val="both"/>
        <w:rPr>
          <w:rFonts w:cs="Simplified Arabic" w:hint="cs"/>
          <w:sz w:val="32"/>
          <w:szCs w:val="32"/>
        </w:rPr>
      </w:pPr>
      <w:proofErr w:type="gramStart"/>
      <w:r>
        <w:rPr>
          <w:rFonts w:cs="Simplified Arabic" w:hint="cs"/>
          <w:sz w:val="32"/>
          <w:szCs w:val="32"/>
          <w:rtl/>
        </w:rPr>
        <w:t>حيث</w:t>
      </w:r>
      <w:proofErr w:type="gramEnd"/>
      <w:r>
        <w:rPr>
          <w:rFonts w:cs="Simplified Arabic" w:hint="cs"/>
          <w:sz w:val="32"/>
          <w:szCs w:val="32"/>
          <w:rtl/>
        </w:rPr>
        <w:t xml:space="preserve"> قسمنا بحثنا إلى مبحث تمهيدي يتضمن أهم المبادئ التي يقوم عليها النظام القضائي، ومبحثين أساسيين خصصنا المبحث الأول لتحديد مفهوم الدعوى بما في ذلك </w:t>
      </w:r>
      <w:r>
        <w:rPr>
          <w:rFonts w:cs="Simplified Arabic" w:hint="cs"/>
          <w:sz w:val="32"/>
          <w:szCs w:val="32"/>
          <w:rtl/>
        </w:rPr>
        <w:lastRenderedPageBreak/>
        <w:t>الجدل الفقهي المثار بخصوص الدعوى، وتحديد تعريفها، وتمييزها عن غيرها من المراكز القانونية الأخرى.</w:t>
      </w:r>
    </w:p>
    <w:p w:rsidR="00D06D8C" w:rsidRPr="009708A6" w:rsidRDefault="00D06D8C" w:rsidP="00D06D8C">
      <w:pPr>
        <w:bidi/>
        <w:ind w:firstLine="720"/>
        <w:jc w:val="both"/>
        <w:rPr>
          <w:rFonts w:cs="Simplified Arabic" w:hint="cs"/>
          <w:sz w:val="32"/>
          <w:szCs w:val="32"/>
          <w:rtl/>
          <w:lang w:bidi="ar-DZ"/>
        </w:rPr>
      </w:pPr>
      <w:proofErr w:type="gramStart"/>
      <w:r>
        <w:rPr>
          <w:rFonts w:cs="Simplified Arabic" w:hint="cs"/>
          <w:sz w:val="32"/>
          <w:szCs w:val="32"/>
          <w:rtl/>
          <w:lang w:bidi="ar-DZ"/>
        </w:rPr>
        <w:t>أما</w:t>
      </w:r>
      <w:proofErr w:type="gramEnd"/>
      <w:r>
        <w:rPr>
          <w:rFonts w:cs="Simplified Arabic" w:hint="cs"/>
          <w:sz w:val="32"/>
          <w:szCs w:val="32"/>
          <w:rtl/>
          <w:lang w:bidi="ar-DZ"/>
        </w:rPr>
        <w:t xml:space="preserve"> المبحث الثاني فخصصناه، لشروط قبول الدعوى وحددنا من خلاله الشروط الموضوعية و الشكلية.</w:t>
      </w:r>
    </w:p>
    <w:p w:rsidR="00D06D8C" w:rsidRDefault="00D06D8C" w:rsidP="00D06D8C">
      <w:pPr>
        <w:bidi/>
        <w:rPr>
          <w:rFonts w:cs="Simplified Arabic"/>
          <w:b/>
          <w:bCs/>
          <w:sz w:val="32"/>
          <w:szCs w:val="32"/>
          <w:lang w:bidi="ar-DZ"/>
        </w:rPr>
      </w:pPr>
    </w:p>
    <w:p w:rsidR="00D06D8C" w:rsidRDefault="00D06D8C" w:rsidP="00D06D8C">
      <w:pPr>
        <w:bidi/>
        <w:rPr>
          <w:rFonts w:cs="Simplified Arabic"/>
          <w:b/>
          <w:bCs/>
          <w:sz w:val="32"/>
          <w:szCs w:val="32"/>
          <w:lang w:bidi="ar-DZ"/>
        </w:rPr>
      </w:pPr>
    </w:p>
    <w:p w:rsidR="00D06D8C" w:rsidRDefault="00D06D8C" w:rsidP="00D06D8C">
      <w:pPr>
        <w:bidi/>
        <w:rPr>
          <w:rFonts w:cs="Simplified Arabic" w:hint="cs"/>
          <w:b/>
          <w:bCs/>
          <w:sz w:val="32"/>
          <w:szCs w:val="32"/>
          <w:rtl/>
          <w:lang w:bidi="ar-DZ"/>
        </w:rPr>
      </w:pPr>
    </w:p>
    <w:p w:rsidR="00D06D8C" w:rsidRDefault="00D06D8C" w:rsidP="00D06D8C">
      <w:pPr>
        <w:bidi/>
        <w:rPr>
          <w:rFonts w:cs="Simplified Arabic"/>
          <w:b/>
          <w:bCs/>
          <w:sz w:val="32"/>
          <w:szCs w:val="32"/>
          <w:lang w:bidi="ar-DZ"/>
        </w:rPr>
      </w:pPr>
    </w:p>
    <w:p w:rsidR="00D06D8C" w:rsidRDefault="00D06D8C" w:rsidP="00D06D8C">
      <w:pPr>
        <w:bidi/>
        <w:rPr>
          <w:rFonts w:cs="Simplified Arabic"/>
          <w:b/>
          <w:bCs/>
          <w:sz w:val="32"/>
          <w:szCs w:val="32"/>
          <w:lang w:bidi="ar-DZ"/>
        </w:rPr>
      </w:pPr>
    </w:p>
    <w:p w:rsidR="00D06D8C" w:rsidRDefault="00D06D8C" w:rsidP="00D06D8C">
      <w:pPr>
        <w:bidi/>
        <w:rPr>
          <w:rFonts w:cs="Simplified Arabic"/>
          <w:b/>
          <w:bCs/>
          <w:sz w:val="32"/>
          <w:szCs w:val="32"/>
          <w:lang w:bidi="ar-DZ"/>
        </w:rPr>
      </w:pPr>
    </w:p>
    <w:p w:rsidR="00D06D8C" w:rsidRDefault="00D06D8C" w:rsidP="00D06D8C">
      <w:pPr>
        <w:bidi/>
        <w:rPr>
          <w:rFonts w:cs="Simplified Arabic"/>
          <w:b/>
          <w:bCs/>
          <w:sz w:val="32"/>
          <w:szCs w:val="32"/>
          <w:lang w:bidi="ar-DZ"/>
        </w:rPr>
      </w:pPr>
    </w:p>
    <w:p w:rsidR="00D06D8C" w:rsidRDefault="00D06D8C" w:rsidP="00D06D8C">
      <w:pPr>
        <w:bidi/>
        <w:rPr>
          <w:rFonts w:cs="Simplified Arabic"/>
          <w:b/>
          <w:bCs/>
          <w:sz w:val="32"/>
          <w:szCs w:val="32"/>
          <w:lang w:bidi="ar-DZ"/>
        </w:rPr>
      </w:pPr>
    </w:p>
    <w:p w:rsidR="00D06D8C" w:rsidRDefault="00D06D8C" w:rsidP="00D06D8C">
      <w:pPr>
        <w:bidi/>
        <w:jc w:val="center"/>
        <w:rPr>
          <w:rFonts w:cs="Simplified Arabic" w:hint="cs"/>
          <w:b/>
          <w:bCs/>
          <w:sz w:val="32"/>
          <w:szCs w:val="32"/>
          <w:rtl/>
        </w:rPr>
      </w:pPr>
      <w:proofErr w:type="gramStart"/>
      <w:r>
        <w:rPr>
          <w:rFonts w:cs="Simplified Arabic" w:hint="cs"/>
          <w:b/>
          <w:bCs/>
          <w:sz w:val="32"/>
          <w:szCs w:val="32"/>
          <w:rtl/>
        </w:rPr>
        <w:t>مبحث</w:t>
      </w:r>
      <w:proofErr w:type="gramEnd"/>
      <w:r>
        <w:rPr>
          <w:rFonts w:cs="Simplified Arabic" w:hint="cs"/>
          <w:b/>
          <w:bCs/>
          <w:sz w:val="32"/>
          <w:szCs w:val="32"/>
          <w:rtl/>
        </w:rPr>
        <w:t xml:space="preserve"> تمهيدي</w:t>
      </w:r>
    </w:p>
    <w:p w:rsidR="00D06D8C" w:rsidRDefault="00D06D8C" w:rsidP="00D06D8C">
      <w:pPr>
        <w:bidi/>
        <w:jc w:val="center"/>
        <w:rPr>
          <w:rFonts w:cs="Simplified Arabic" w:hint="cs"/>
          <w:b/>
          <w:bCs/>
          <w:sz w:val="32"/>
          <w:szCs w:val="32"/>
          <w:rtl/>
        </w:rPr>
      </w:pPr>
      <w:proofErr w:type="gramStart"/>
      <w:r>
        <w:rPr>
          <w:rFonts w:cs="Simplified Arabic" w:hint="cs"/>
          <w:b/>
          <w:bCs/>
          <w:sz w:val="32"/>
          <w:szCs w:val="32"/>
          <w:rtl/>
        </w:rPr>
        <w:t>مبادئ</w:t>
      </w:r>
      <w:proofErr w:type="gramEnd"/>
      <w:r>
        <w:rPr>
          <w:rFonts w:cs="Simplified Arabic" w:hint="cs"/>
          <w:b/>
          <w:bCs/>
          <w:sz w:val="32"/>
          <w:szCs w:val="32"/>
          <w:rtl/>
        </w:rPr>
        <w:t xml:space="preserve"> النظام القضائي</w:t>
      </w:r>
    </w:p>
    <w:p w:rsidR="00D06D8C" w:rsidRDefault="00D06D8C" w:rsidP="00D06D8C">
      <w:pPr>
        <w:bidi/>
        <w:spacing w:before="100" w:beforeAutospacing="1" w:after="100" w:afterAutospacing="1"/>
        <w:rPr>
          <w:rFonts w:cs="Simplified Arabic" w:hint="cs"/>
          <w:b/>
          <w:bCs/>
          <w:sz w:val="32"/>
          <w:szCs w:val="32"/>
          <w:rtl/>
        </w:rPr>
      </w:pPr>
      <w:r>
        <w:rPr>
          <w:rFonts w:cs="Simplified Arabic" w:hint="cs"/>
          <w:b/>
          <w:bCs/>
          <w:sz w:val="32"/>
          <w:szCs w:val="32"/>
          <w:rtl/>
        </w:rPr>
        <w:t xml:space="preserve">تمهيد </w:t>
      </w:r>
      <w:proofErr w:type="gramStart"/>
      <w:r>
        <w:rPr>
          <w:rFonts w:cs="Simplified Arabic" w:hint="cs"/>
          <w:b/>
          <w:bCs/>
          <w:sz w:val="32"/>
          <w:szCs w:val="32"/>
          <w:rtl/>
        </w:rPr>
        <w:t>وتقسيم</w:t>
      </w:r>
      <w:proofErr w:type="gramEnd"/>
      <w:r>
        <w:rPr>
          <w:rFonts w:cs="Simplified Arabic" w:hint="cs"/>
          <w:b/>
          <w:bCs/>
          <w:sz w:val="32"/>
          <w:szCs w:val="32"/>
          <w:rtl/>
        </w:rPr>
        <w:t>:</w:t>
      </w:r>
    </w:p>
    <w:p w:rsidR="00D06D8C" w:rsidRDefault="00D06D8C" w:rsidP="00D06D8C">
      <w:pPr>
        <w:bidi/>
        <w:ind w:firstLine="1080"/>
        <w:jc w:val="both"/>
        <w:rPr>
          <w:rFonts w:cs="Simplified Arabic" w:hint="cs"/>
          <w:sz w:val="32"/>
          <w:szCs w:val="32"/>
          <w:rtl/>
        </w:rPr>
      </w:pPr>
      <w:r>
        <w:rPr>
          <w:rFonts w:cs="Simplified Arabic" w:hint="cs"/>
          <w:sz w:val="32"/>
          <w:szCs w:val="32"/>
          <w:rtl/>
        </w:rPr>
        <w:t>إن القضاء من وظائف الدولة وواجباتها الحديثة، فالدولة هي مصدر القضاء لأنها هي من يشرف عليه ويمارس في حدود إقليمها، فالدولة هي التي تستأثر بالتنظيم القضائي، ولا يجوز لدولة أخرى أن تشارك في تنظيم القضاء لأنه عمل من اعمال السيادة، وإلا اعتبر مساسا بسيادة الدولة.</w:t>
      </w:r>
    </w:p>
    <w:p w:rsidR="00D06D8C" w:rsidRDefault="00D06D8C" w:rsidP="00D06D8C">
      <w:pPr>
        <w:bidi/>
        <w:ind w:firstLine="1080"/>
        <w:jc w:val="both"/>
        <w:rPr>
          <w:rFonts w:cs="Simplified Arabic" w:hint="cs"/>
          <w:sz w:val="32"/>
          <w:szCs w:val="32"/>
          <w:rtl/>
        </w:rPr>
      </w:pPr>
      <w:r>
        <w:rPr>
          <w:rFonts w:cs="Simplified Arabic" w:hint="cs"/>
          <w:sz w:val="32"/>
          <w:szCs w:val="32"/>
          <w:rtl/>
        </w:rPr>
        <w:t>ولقد أقر المشرع في التعديل الأخير لقانون الإجراءات المدنية و الإدارية، مجموعة من المبادئ التي يقوم عليها القضاء، وذلك من خلال المواد من 1 إلى 12 منه.</w:t>
      </w:r>
    </w:p>
    <w:p w:rsidR="00D06D8C" w:rsidRDefault="00D06D8C" w:rsidP="00D06D8C">
      <w:pPr>
        <w:bidi/>
        <w:ind w:firstLine="1080"/>
        <w:jc w:val="both"/>
        <w:rPr>
          <w:rFonts w:cs="Simplified Arabic" w:hint="cs"/>
          <w:sz w:val="32"/>
          <w:szCs w:val="32"/>
          <w:rtl/>
        </w:rPr>
      </w:pPr>
      <w:r>
        <w:rPr>
          <w:rFonts w:cs="Simplified Arabic" w:hint="cs"/>
          <w:sz w:val="32"/>
          <w:szCs w:val="32"/>
          <w:rtl/>
        </w:rPr>
        <w:t xml:space="preserve">وتجدر الإشارة إلى أن هذا المبادئ هي ذات المبادئ و المعايير العالمية المكرسة في كل التشريعات </w:t>
      </w:r>
      <w:proofErr w:type="spellStart"/>
      <w:r>
        <w:rPr>
          <w:rFonts w:cs="Simplified Arabic" w:hint="cs"/>
          <w:sz w:val="32"/>
          <w:szCs w:val="32"/>
          <w:rtl/>
        </w:rPr>
        <w:t>الحديثة،لتطابقها</w:t>
      </w:r>
      <w:proofErr w:type="spellEnd"/>
      <w:r>
        <w:rPr>
          <w:rFonts w:cs="Simplified Arabic" w:hint="cs"/>
          <w:sz w:val="32"/>
          <w:szCs w:val="32"/>
          <w:rtl/>
        </w:rPr>
        <w:t xml:space="preserve"> مع الإعلان العالمي لحقوق الإنسان، فيما نص عليه في </w:t>
      </w:r>
      <w:r>
        <w:rPr>
          <w:rFonts w:cs="Simplified Arabic" w:hint="cs"/>
          <w:sz w:val="32"/>
          <w:szCs w:val="32"/>
          <w:rtl/>
        </w:rPr>
        <w:lastRenderedPageBreak/>
        <w:t>ديباجته من أن: ((حماية حقوق الإنسان بواسطة القانون، هي السبيل الأمثل الذي يحول دون لجوء الإنسان إلى الثوران ضد الاستبداد و القهر)).</w:t>
      </w:r>
      <w:r>
        <w:rPr>
          <w:rStyle w:val="Appelnotedebasdep"/>
          <w:rFonts w:cs="Simplified Arabic"/>
          <w:sz w:val="32"/>
          <w:szCs w:val="32"/>
        </w:rPr>
        <w:footnoteReference w:customMarkFollows="1" w:id="1"/>
        <w:t>(1)</w:t>
      </w:r>
    </w:p>
    <w:p w:rsidR="00D06D8C" w:rsidRDefault="00D06D8C" w:rsidP="00D06D8C">
      <w:pPr>
        <w:bidi/>
        <w:ind w:firstLine="1080"/>
        <w:jc w:val="both"/>
        <w:rPr>
          <w:rFonts w:cs="Simplified Arabic" w:hint="cs"/>
          <w:sz w:val="32"/>
          <w:szCs w:val="32"/>
          <w:rtl/>
        </w:rPr>
      </w:pPr>
      <w:r>
        <w:rPr>
          <w:rFonts w:cs="Simplified Arabic" w:hint="cs"/>
          <w:sz w:val="32"/>
          <w:szCs w:val="32"/>
          <w:rtl/>
        </w:rPr>
        <w:t>وقد قسمنا هذا المبحث إلى مطلبين كالآتي:</w:t>
      </w:r>
    </w:p>
    <w:p w:rsidR="00D06D8C" w:rsidRDefault="00D06D8C" w:rsidP="00D06D8C">
      <w:pPr>
        <w:bidi/>
        <w:ind w:firstLine="1080"/>
        <w:jc w:val="both"/>
        <w:rPr>
          <w:rFonts w:cs="Simplified Arabic" w:hint="cs"/>
          <w:sz w:val="32"/>
          <w:szCs w:val="32"/>
          <w:rtl/>
        </w:rPr>
      </w:pPr>
      <w:r>
        <w:rPr>
          <w:rFonts w:cs="Simplified Arabic" w:hint="cs"/>
          <w:sz w:val="32"/>
          <w:szCs w:val="32"/>
          <w:rtl/>
        </w:rPr>
        <w:t xml:space="preserve">      </w:t>
      </w:r>
      <w:proofErr w:type="gramStart"/>
      <w:r>
        <w:rPr>
          <w:rFonts w:cs="Simplified Arabic" w:hint="cs"/>
          <w:sz w:val="32"/>
          <w:szCs w:val="32"/>
          <w:rtl/>
        </w:rPr>
        <w:t>المطلب</w:t>
      </w:r>
      <w:proofErr w:type="gramEnd"/>
      <w:r>
        <w:rPr>
          <w:rFonts w:cs="Simplified Arabic" w:hint="cs"/>
          <w:sz w:val="32"/>
          <w:szCs w:val="32"/>
          <w:rtl/>
        </w:rPr>
        <w:t xml:space="preserve"> الأول: المبادئ العامة للنظام القضائي.</w:t>
      </w:r>
    </w:p>
    <w:p w:rsidR="00D06D8C" w:rsidRDefault="00D06D8C" w:rsidP="00D06D8C">
      <w:pPr>
        <w:bidi/>
        <w:ind w:firstLine="1080"/>
        <w:jc w:val="both"/>
        <w:rPr>
          <w:rFonts w:cs="Simplified Arabic" w:hint="cs"/>
          <w:sz w:val="32"/>
          <w:szCs w:val="32"/>
          <w:rtl/>
        </w:rPr>
      </w:pPr>
      <w:r>
        <w:rPr>
          <w:rFonts w:cs="Simplified Arabic" w:hint="cs"/>
          <w:sz w:val="32"/>
          <w:szCs w:val="32"/>
          <w:rtl/>
        </w:rPr>
        <w:t xml:space="preserve">      </w:t>
      </w:r>
      <w:proofErr w:type="gramStart"/>
      <w:r>
        <w:rPr>
          <w:rFonts w:cs="Simplified Arabic" w:hint="cs"/>
          <w:sz w:val="32"/>
          <w:szCs w:val="32"/>
          <w:rtl/>
        </w:rPr>
        <w:t>المطلب</w:t>
      </w:r>
      <w:proofErr w:type="gramEnd"/>
      <w:r>
        <w:rPr>
          <w:rFonts w:cs="Simplified Arabic" w:hint="cs"/>
          <w:sz w:val="32"/>
          <w:szCs w:val="32"/>
          <w:rtl/>
        </w:rPr>
        <w:t xml:space="preserve"> الثاني: المبادئ الخاصة للنظام القضائي.</w:t>
      </w:r>
    </w:p>
    <w:p w:rsidR="00D06D8C" w:rsidRDefault="00D06D8C" w:rsidP="00D06D8C">
      <w:pPr>
        <w:bidi/>
        <w:spacing w:before="100" w:beforeAutospacing="1" w:after="100" w:afterAutospacing="1"/>
        <w:ind w:firstLine="1077"/>
        <w:jc w:val="both"/>
        <w:rPr>
          <w:rFonts w:cs="Simplified Arabic" w:hint="cs"/>
          <w:sz w:val="32"/>
          <w:szCs w:val="32"/>
          <w:rtl/>
        </w:rPr>
      </w:pPr>
      <w:proofErr w:type="gramStart"/>
      <w:r w:rsidRPr="00FC63E4">
        <w:rPr>
          <w:rFonts w:cs="Simplified Arabic" w:hint="cs"/>
          <w:b/>
          <w:bCs/>
          <w:sz w:val="32"/>
          <w:szCs w:val="32"/>
          <w:rtl/>
        </w:rPr>
        <w:t>المطلب</w:t>
      </w:r>
      <w:proofErr w:type="gramEnd"/>
      <w:r w:rsidRPr="00FC63E4">
        <w:rPr>
          <w:rFonts w:cs="Simplified Arabic" w:hint="cs"/>
          <w:b/>
          <w:bCs/>
          <w:sz w:val="32"/>
          <w:szCs w:val="32"/>
          <w:rtl/>
        </w:rPr>
        <w:t xml:space="preserve"> الأول</w:t>
      </w:r>
      <w:r>
        <w:rPr>
          <w:rFonts w:cs="Simplified Arabic" w:hint="cs"/>
          <w:sz w:val="32"/>
          <w:szCs w:val="32"/>
          <w:rtl/>
        </w:rPr>
        <w:t>: المبادئ العامة للنظام القضائي</w:t>
      </w:r>
    </w:p>
    <w:p w:rsidR="00D06D8C" w:rsidRDefault="00D06D8C" w:rsidP="00D06D8C">
      <w:pPr>
        <w:bidi/>
        <w:ind w:firstLine="1080"/>
        <w:jc w:val="both"/>
        <w:rPr>
          <w:rFonts w:cs="Simplified Arabic" w:hint="cs"/>
          <w:sz w:val="32"/>
          <w:szCs w:val="32"/>
          <w:rtl/>
        </w:rPr>
      </w:pPr>
      <w:r>
        <w:rPr>
          <w:rFonts w:cs="Simplified Arabic" w:hint="cs"/>
          <w:sz w:val="32"/>
          <w:szCs w:val="32"/>
          <w:rtl/>
        </w:rPr>
        <w:t>لقانون الإجراءات المدنية مبادئ عامة تسيطر على مجموع قواعده، وهذه المبادئ مستمدة من قواعد الإجراءات وترسم الفلسفة العامة لها وتساعد في تفسيرها ومن هذه المبادئ:</w:t>
      </w:r>
      <w:r>
        <w:rPr>
          <w:rStyle w:val="Appelnotedebasdep"/>
          <w:rFonts w:cs="Simplified Arabic"/>
          <w:sz w:val="32"/>
          <w:szCs w:val="32"/>
        </w:rPr>
        <w:footnoteReference w:customMarkFollows="1" w:id="2"/>
        <w:t>(2)</w:t>
      </w:r>
    </w:p>
    <w:p w:rsidR="00D06D8C" w:rsidRDefault="00D06D8C" w:rsidP="00D06D8C">
      <w:pPr>
        <w:bidi/>
        <w:ind w:firstLine="1080"/>
        <w:jc w:val="both"/>
        <w:rPr>
          <w:rFonts w:cs="Simplified Arabic" w:hint="cs"/>
          <w:sz w:val="32"/>
          <w:szCs w:val="32"/>
          <w:rtl/>
        </w:rPr>
      </w:pPr>
    </w:p>
    <w:p w:rsidR="00D06D8C" w:rsidRDefault="00D06D8C" w:rsidP="00D06D8C">
      <w:pPr>
        <w:bidi/>
        <w:ind w:firstLine="1080"/>
        <w:jc w:val="both"/>
        <w:rPr>
          <w:rFonts w:cs="Simplified Arabic" w:hint="cs"/>
          <w:sz w:val="32"/>
          <w:szCs w:val="32"/>
          <w:rtl/>
        </w:rPr>
      </w:pPr>
    </w:p>
    <w:p w:rsidR="00D06D8C" w:rsidRDefault="00D06D8C" w:rsidP="00D06D8C">
      <w:pPr>
        <w:bidi/>
        <w:ind w:firstLine="1080"/>
        <w:jc w:val="both"/>
        <w:rPr>
          <w:rFonts w:cs="Simplified Arabic" w:hint="cs"/>
          <w:sz w:val="32"/>
          <w:szCs w:val="32"/>
          <w:rtl/>
        </w:rPr>
      </w:pPr>
    </w:p>
    <w:p w:rsidR="00D06D8C" w:rsidRDefault="00D06D8C" w:rsidP="00D06D8C">
      <w:pPr>
        <w:bidi/>
        <w:ind w:firstLine="1080"/>
        <w:jc w:val="both"/>
        <w:rPr>
          <w:rFonts w:cs="Simplified Arabic" w:hint="cs"/>
          <w:sz w:val="32"/>
          <w:szCs w:val="32"/>
          <w:rtl/>
        </w:rPr>
      </w:pPr>
      <w:r>
        <w:rPr>
          <w:rFonts w:cs="Simplified Arabic" w:hint="cs"/>
          <w:sz w:val="32"/>
          <w:szCs w:val="32"/>
          <w:rtl/>
        </w:rPr>
        <w:t>الوجاهية ( الفرع الأول)، علانية الجلسات ( الفرع الثاني)، مبدأ احترام حقوق الدفاع (الفرع الثالث)، مبدأ حياد القاضي ( الفرع الرابع).</w:t>
      </w:r>
    </w:p>
    <w:p w:rsidR="00D06D8C" w:rsidRPr="00263868" w:rsidRDefault="00D06D8C" w:rsidP="00D06D8C">
      <w:pPr>
        <w:bidi/>
        <w:spacing w:before="100" w:beforeAutospacing="1" w:after="100" w:afterAutospacing="1"/>
        <w:ind w:firstLine="1077"/>
        <w:jc w:val="both"/>
        <w:rPr>
          <w:rFonts w:cs="Simplified Arabic" w:hint="cs"/>
          <w:b/>
          <w:bCs/>
          <w:sz w:val="32"/>
          <w:szCs w:val="32"/>
          <w:rtl/>
        </w:rPr>
      </w:pPr>
      <w:r w:rsidRPr="00263868">
        <w:rPr>
          <w:rFonts w:cs="Simplified Arabic" w:hint="cs"/>
          <w:b/>
          <w:bCs/>
          <w:sz w:val="32"/>
          <w:szCs w:val="32"/>
          <w:rtl/>
        </w:rPr>
        <w:t xml:space="preserve">الفرع الأول: </w:t>
      </w:r>
      <w:r>
        <w:rPr>
          <w:rFonts w:cs="Simplified Arabic" w:hint="cs"/>
          <w:b/>
          <w:bCs/>
          <w:sz w:val="32"/>
          <w:szCs w:val="32"/>
          <w:rtl/>
        </w:rPr>
        <w:t>الوجاهية</w:t>
      </w:r>
      <w:r w:rsidRPr="00263868">
        <w:rPr>
          <w:rFonts w:cs="Simplified Arabic" w:hint="cs"/>
          <w:b/>
          <w:bCs/>
          <w:sz w:val="32"/>
          <w:szCs w:val="32"/>
          <w:rtl/>
        </w:rPr>
        <w:t>:</w:t>
      </w:r>
      <w:r>
        <w:rPr>
          <w:rStyle w:val="Appelnotedebasdep"/>
          <w:rFonts w:cs="Simplified Arabic"/>
          <w:b/>
          <w:bCs/>
          <w:sz w:val="32"/>
          <w:szCs w:val="32"/>
        </w:rPr>
        <w:footnoteReference w:customMarkFollows="1" w:id="3"/>
        <w:t>(1)</w:t>
      </w:r>
    </w:p>
    <w:p w:rsidR="00D06D8C" w:rsidRDefault="00D06D8C" w:rsidP="00D06D8C">
      <w:pPr>
        <w:bidi/>
        <w:ind w:firstLine="1080"/>
        <w:jc w:val="both"/>
        <w:rPr>
          <w:rFonts w:cs="Simplified Arabic" w:hint="cs"/>
          <w:sz w:val="32"/>
          <w:szCs w:val="32"/>
          <w:rtl/>
        </w:rPr>
      </w:pPr>
      <w:r>
        <w:rPr>
          <w:rFonts w:cs="Simplified Arabic" w:hint="cs"/>
          <w:sz w:val="32"/>
          <w:szCs w:val="32"/>
          <w:rtl/>
        </w:rPr>
        <w:lastRenderedPageBreak/>
        <w:t>تنص الفقرة الثالثة من المادة الثالثة من قانون الإجراءات المدنية على أن يلتزم القاضي و الخصوم بمبدأ الوجاهية. ويعتبر هذا المبدأ من المبادئ الأساسية الواجب احترامها أمام أي جهة قضائية سواء كانت مدنية أو إدارية أو جزائية، وهي حقوق ذات طبيعة إجرائية كما تعتبر جزء لا يتجزأ من ضمانات ومكونات الحق في محاكمة عادلة و الذي نصت عليه جل الاتفاقيات الدولية المتعلقة بحقوق الإنسان.</w:t>
      </w:r>
    </w:p>
    <w:p w:rsidR="00D06D8C" w:rsidRDefault="00D06D8C" w:rsidP="00D06D8C">
      <w:pPr>
        <w:bidi/>
        <w:ind w:firstLine="1080"/>
        <w:jc w:val="both"/>
        <w:rPr>
          <w:rFonts w:cs="Simplified Arabic" w:hint="cs"/>
          <w:sz w:val="32"/>
          <w:szCs w:val="32"/>
          <w:rtl/>
        </w:rPr>
      </w:pPr>
      <w:r>
        <w:rPr>
          <w:rFonts w:cs="Simplified Arabic" w:hint="cs"/>
          <w:sz w:val="32"/>
          <w:szCs w:val="32"/>
          <w:rtl/>
        </w:rPr>
        <w:t xml:space="preserve">و يراد بالوجاهية اتخاذ كافة الإجراءات في مواجهة الخصوم بطريق يمكنهم من العلم بها سواء عن طريق إجرائها في حضورهم كإبداء الطلبات و الدفوع وإجراءات التحقيق أو عن طريق إعلانهم بها أو تمكينهم من </w:t>
      </w:r>
      <w:proofErr w:type="spellStart"/>
      <w:r>
        <w:rPr>
          <w:rFonts w:cs="Simplified Arabic" w:hint="cs"/>
          <w:sz w:val="32"/>
          <w:szCs w:val="32"/>
          <w:rtl/>
        </w:rPr>
        <w:t>الإطلاع</w:t>
      </w:r>
      <w:proofErr w:type="spellEnd"/>
      <w:r>
        <w:rPr>
          <w:rFonts w:cs="Simplified Arabic" w:hint="cs"/>
          <w:sz w:val="32"/>
          <w:szCs w:val="32"/>
          <w:rtl/>
        </w:rPr>
        <w:t xml:space="preserve"> عليها ومناقشتها.</w:t>
      </w:r>
      <w:r>
        <w:rPr>
          <w:rStyle w:val="Appelnotedebasdep"/>
          <w:rFonts w:cs="Simplified Arabic"/>
          <w:sz w:val="32"/>
          <w:szCs w:val="32"/>
        </w:rPr>
        <w:footnoteReference w:customMarkFollows="1" w:id="4"/>
        <w:t>(2)</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rPr>
        <w:t xml:space="preserve">ويصطلح على مبدأ الوجاهية باللغة اللاتينية </w:t>
      </w:r>
      <w:r>
        <w:rPr>
          <w:rFonts w:cs="Simplified Arabic"/>
          <w:sz w:val="32"/>
          <w:szCs w:val="32"/>
        </w:rPr>
        <w:t>(</w:t>
      </w:r>
      <w:proofErr w:type="spellStart"/>
      <w:r>
        <w:rPr>
          <w:rFonts w:cs="Simplified Arabic"/>
          <w:sz w:val="32"/>
          <w:szCs w:val="32"/>
        </w:rPr>
        <w:t>Audiatur</w:t>
      </w:r>
      <w:proofErr w:type="spellEnd"/>
      <w:r>
        <w:rPr>
          <w:rFonts w:cs="Simplified Arabic"/>
          <w:sz w:val="32"/>
          <w:szCs w:val="32"/>
        </w:rPr>
        <w:t xml:space="preserve"> et </w:t>
      </w:r>
      <w:proofErr w:type="spellStart"/>
      <w:r>
        <w:rPr>
          <w:rFonts w:cs="Simplified Arabic"/>
          <w:sz w:val="32"/>
          <w:szCs w:val="32"/>
        </w:rPr>
        <w:t>altera</w:t>
      </w:r>
      <w:proofErr w:type="spellEnd"/>
      <w:r>
        <w:rPr>
          <w:rFonts w:cs="Simplified Arabic"/>
          <w:sz w:val="32"/>
          <w:szCs w:val="32"/>
        </w:rPr>
        <w:t xml:space="preserve"> pars)</w:t>
      </w:r>
      <w:r>
        <w:rPr>
          <w:rFonts w:cs="Simplified Arabic" w:hint="cs"/>
          <w:sz w:val="32"/>
          <w:szCs w:val="32"/>
          <w:rtl/>
          <w:lang w:val="en-US" w:bidi="ar-DZ"/>
        </w:rPr>
        <w:t xml:space="preserve"> ويقصد بها بالترجمة الحرفية للعبارة (يجب سماع الطرف الآخر أيضا)، وعادة ما يرتبط مبدأ الوجاهية بمبادئ ومفاهيم أخرى تتعلق بالحق في محاكمة عادلة مثل حقوق الدفاع، تحقيق العدالة، المساواة، وتكافئ الفرص في عرض الطلبات و الدفاع. وما تجدر الإشارة إليه أن مبدأ الوجاهية يجب احترامه في أي مرحلة كانت عليها الدعوى، وفي أي إجراء من إجراءاتها، وأهم ما يترتب عليه:</w:t>
      </w:r>
    </w:p>
    <w:p w:rsidR="00D06D8C" w:rsidRDefault="00D06D8C" w:rsidP="00D06D8C">
      <w:pPr>
        <w:bidi/>
        <w:ind w:left="336" w:firstLine="1080"/>
        <w:jc w:val="both"/>
        <w:rPr>
          <w:rFonts w:cs="Simplified Arabic" w:hint="cs"/>
          <w:sz w:val="32"/>
          <w:szCs w:val="32"/>
          <w:rtl/>
          <w:lang w:val="en-US" w:bidi="ar-DZ"/>
        </w:rPr>
      </w:pPr>
      <w:r>
        <w:rPr>
          <w:rFonts w:cs="Simplified Arabic" w:hint="cs"/>
          <w:sz w:val="32"/>
          <w:szCs w:val="32"/>
          <w:rtl/>
          <w:lang w:val="en-US" w:bidi="ar-DZ"/>
        </w:rPr>
        <w:t>- على كل طرف في الدعوى إعلام و إبلاغ الطرف الآخر بادعاءاته و الوقائع التي يستند عليها، و الوسائل القانونية وعناصر الإثبات التي يدعيها من أجل دعم ادعاءاته وطلباته.</w:t>
      </w:r>
    </w:p>
    <w:p w:rsidR="00D06D8C" w:rsidRDefault="00D06D8C" w:rsidP="00D06D8C">
      <w:pPr>
        <w:bidi/>
        <w:ind w:left="336" w:firstLine="1080"/>
        <w:jc w:val="both"/>
        <w:rPr>
          <w:rFonts w:cs="Simplified Arabic" w:hint="cs"/>
          <w:sz w:val="32"/>
          <w:szCs w:val="32"/>
          <w:rtl/>
          <w:lang w:val="en-US" w:bidi="ar-DZ"/>
        </w:rPr>
      </w:pPr>
      <w:r>
        <w:rPr>
          <w:rFonts w:cs="Simplified Arabic" w:hint="cs"/>
          <w:sz w:val="32"/>
          <w:szCs w:val="32"/>
          <w:rtl/>
          <w:lang w:val="en-US" w:bidi="ar-DZ"/>
        </w:rPr>
        <w:t xml:space="preserve">- على أطراف الدعوى تبادل </w:t>
      </w:r>
      <w:proofErr w:type="gramStart"/>
      <w:r>
        <w:rPr>
          <w:rFonts w:cs="Simplified Arabic" w:hint="cs"/>
          <w:sz w:val="32"/>
          <w:szCs w:val="32"/>
          <w:rtl/>
          <w:lang w:val="en-US" w:bidi="ar-DZ"/>
        </w:rPr>
        <w:t>واستبدال</w:t>
      </w:r>
      <w:proofErr w:type="gramEnd"/>
      <w:r>
        <w:rPr>
          <w:rFonts w:cs="Simplified Arabic" w:hint="cs"/>
          <w:sz w:val="32"/>
          <w:szCs w:val="32"/>
          <w:rtl/>
          <w:lang w:val="en-US" w:bidi="ar-DZ"/>
        </w:rPr>
        <w:t xml:space="preserve"> الوثائق والسندات المستعملة في الدعوى، وفي الوقت اللازم.</w:t>
      </w:r>
    </w:p>
    <w:p w:rsidR="00D06D8C" w:rsidRDefault="00D06D8C" w:rsidP="00D06D8C">
      <w:pPr>
        <w:bidi/>
        <w:ind w:left="336" w:firstLine="1080"/>
        <w:jc w:val="both"/>
        <w:rPr>
          <w:rFonts w:cs="Simplified Arabic" w:hint="cs"/>
          <w:sz w:val="32"/>
          <w:szCs w:val="32"/>
          <w:rtl/>
          <w:lang w:val="en-US" w:bidi="ar-DZ"/>
        </w:rPr>
      </w:pPr>
      <w:r>
        <w:rPr>
          <w:rFonts w:cs="Simplified Arabic" w:hint="cs"/>
          <w:sz w:val="32"/>
          <w:szCs w:val="32"/>
          <w:rtl/>
          <w:lang w:val="en-US" w:bidi="ar-DZ"/>
        </w:rPr>
        <w:t>- مبدأ الوجاهية يطبق أيضا على إجراءات التحقيق المستعملة في الدعوى.</w:t>
      </w:r>
    </w:p>
    <w:p w:rsidR="00D06D8C" w:rsidRDefault="00D06D8C" w:rsidP="00D06D8C">
      <w:pPr>
        <w:bidi/>
        <w:ind w:left="336" w:firstLine="1080"/>
        <w:jc w:val="both"/>
        <w:rPr>
          <w:rFonts w:cs="Simplified Arabic" w:hint="cs"/>
          <w:sz w:val="32"/>
          <w:szCs w:val="32"/>
          <w:rtl/>
          <w:lang w:val="en-US" w:bidi="ar-DZ"/>
        </w:rPr>
      </w:pPr>
    </w:p>
    <w:p w:rsidR="00D06D8C" w:rsidRDefault="00D06D8C" w:rsidP="00D06D8C">
      <w:pPr>
        <w:bidi/>
        <w:ind w:left="336" w:firstLine="1080"/>
        <w:jc w:val="both"/>
        <w:rPr>
          <w:rFonts w:cs="Simplified Arabic" w:hint="cs"/>
          <w:sz w:val="32"/>
          <w:szCs w:val="32"/>
          <w:rtl/>
          <w:lang w:val="en-US" w:bidi="ar-DZ"/>
        </w:rPr>
      </w:pPr>
      <w:r>
        <w:rPr>
          <w:rFonts w:cs="Simplified Arabic" w:hint="cs"/>
          <w:sz w:val="32"/>
          <w:szCs w:val="32"/>
          <w:rtl/>
          <w:lang w:val="en-US" w:bidi="ar-DZ"/>
        </w:rPr>
        <w:t>- على القاضي إبلاغ و إعلام أطراف الدعوى بكل إجراء يتخذه في الدعوى.</w:t>
      </w:r>
    </w:p>
    <w:p w:rsidR="00D06D8C" w:rsidRDefault="00D06D8C" w:rsidP="00D06D8C">
      <w:pPr>
        <w:bidi/>
        <w:ind w:left="336" w:firstLine="564"/>
        <w:jc w:val="both"/>
        <w:rPr>
          <w:rFonts w:cs="Simplified Arabic" w:hint="cs"/>
          <w:sz w:val="32"/>
          <w:szCs w:val="32"/>
          <w:rtl/>
          <w:lang w:val="en-US" w:bidi="ar-DZ"/>
        </w:rPr>
      </w:pPr>
      <w:r>
        <w:rPr>
          <w:rFonts w:cs="Simplified Arabic" w:hint="cs"/>
          <w:sz w:val="32"/>
          <w:szCs w:val="32"/>
          <w:rtl/>
          <w:lang w:val="en-US" w:bidi="ar-DZ"/>
        </w:rPr>
        <w:t xml:space="preserve">  و الوجاهية إلزام يقع على الخصوم والقاضي على حد سواء، فأطراف الخصومة يباشرون دعواهم بما يكفل عدم الجهالة لدى الطرف الآخر، كما يقع على القاضي تمكين الأطراف بما يدعيه كل واحد منهم.</w:t>
      </w:r>
      <w:r>
        <w:rPr>
          <w:rStyle w:val="Appelnotedebasdep"/>
          <w:rFonts w:cs="Simplified Arabic"/>
          <w:sz w:val="32"/>
          <w:szCs w:val="32"/>
          <w:lang w:val="en-US" w:bidi="ar-DZ"/>
        </w:rPr>
        <w:footnoteReference w:customMarkFollows="1" w:id="5"/>
        <w:t>(1)</w:t>
      </w:r>
    </w:p>
    <w:p w:rsidR="00D06D8C" w:rsidRPr="00633BF2" w:rsidRDefault="00D06D8C" w:rsidP="00D06D8C">
      <w:pPr>
        <w:bidi/>
        <w:spacing w:before="100" w:beforeAutospacing="1" w:after="100" w:afterAutospacing="1"/>
        <w:ind w:firstLine="1077"/>
        <w:jc w:val="both"/>
        <w:rPr>
          <w:rFonts w:cs="Simplified Arabic" w:hint="cs"/>
          <w:b/>
          <w:bCs/>
          <w:sz w:val="32"/>
          <w:szCs w:val="32"/>
          <w:rtl/>
          <w:lang w:val="en-US" w:bidi="ar-DZ"/>
        </w:rPr>
      </w:pPr>
      <w:proofErr w:type="gramStart"/>
      <w:r w:rsidRPr="00633BF2">
        <w:rPr>
          <w:rFonts w:cs="Simplified Arabic" w:hint="cs"/>
          <w:b/>
          <w:bCs/>
          <w:sz w:val="32"/>
          <w:szCs w:val="32"/>
          <w:rtl/>
          <w:lang w:val="en-US" w:bidi="ar-DZ"/>
        </w:rPr>
        <w:t>الفرع</w:t>
      </w:r>
      <w:proofErr w:type="gramEnd"/>
      <w:r w:rsidRPr="00633BF2">
        <w:rPr>
          <w:rFonts w:cs="Simplified Arabic" w:hint="cs"/>
          <w:b/>
          <w:bCs/>
          <w:sz w:val="32"/>
          <w:szCs w:val="32"/>
          <w:rtl/>
          <w:lang w:val="en-US" w:bidi="ar-DZ"/>
        </w:rPr>
        <w:t xml:space="preserve"> الثاني: علانية الجلسات:</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 xml:space="preserve">نصت المادة السابعة من قانون الإجراءات المدنية على((أن الجلسات علنية، ما لم تمس العلنية بالنظام العام أو الآداب العامة أو حرمة الأسرة)). </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إذ يجب أن تعقد الجلسات علنية، فمن حق المواطن الدخول للقاعة ، وتتم المرافعة في الدعوى في جلسة علنية، كما يجب على القاضي أن ينطق بالحكم في جلسة علنية، وفي هذا ضمانة عامة لاتخاذ الإجراءات في مواجهة الخصوم، كما أن ذلك يؤدي إلى ترتيب نوع من أنواع الرقابة الشعبية على عمل القضاة.</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ويقصد بالعلانية كفالة إتاحة الفرصة لأي شخص للولوج إلى قاعة المحاكمة حتى ولو لم يحضر أحد، فما دام إمكانية الحضور متاحة فإن مبدأ العلانية يتم احترامه، ولا يشترط الحضور بالفعل، ولا يخل بهذا المبدأ قصد الحضور على فئات معينة من الأشخاص، أو تحديد أعداد معينة منهم،</w:t>
      </w:r>
      <w:r>
        <w:rPr>
          <w:rStyle w:val="Appelnotedebasdep"/>
          <w:rFonts w:cs="Simplified Arabic"/>
          <w:sz w:val="32"/>
          <w:szCs w:val="32"/>
          <w:lang w:val="en-US" w:bidi="ar-DZ"/>
        </w:rPr>
        <w:footnoteReference w:customMarkFollows="1" w:id="6"/>
        <w:t>(2)</w:t>
      </w:r>
      <w:r>
        <w:rPr>
          <w:rFonts w:cs="Simplified Arabic" w:hint="cs"/>
          <w:sz w:val="32"/>
          <w:szCs w:val="32"/>
          <w:rtl/>
          <w:lang w:val="en-US" w:bidi="ar-DZ"/>
        </w:rPr>
        <w:t xml:space="preserve"> كما أنه من الممكن جعل الجلسات سرية لاعتبارات تتعلق بالنظام العام أو بالأمن المدني ومثال ذلك دعاوى الطلاق أو إثبات النسب.</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 xml:space="preserve">وللمحكمة من تلقاء نفسها أو بناء على طلب أحد الخصوم عقد الجلسة في صورة سرية بغرفة المشورة، محافظة على النظام العام أو مراعاة الآداب أو حرمة الأسرة في أية </w:t>
      </w:r>
      <w:r>
        <w:rPr>
          <w:rFonts w:cs="Simplified Arabic" w:hint="cs"/>
          <w:sz w:val="32"/>
          <w:szCs w:val="32"/>
          <w:rtl/>
          <w:lang w:val="en-US" w:bidi="ar-DZ"/>
        </w:rPr>
        <w:lastRenderedPageBreak/>
        <w:t>دعوى تنظرها. فمتى توفرت إحدى هذه الأسباب ونظرت المحكمة الدعوى في جلسة سرية كان حكمها صحيحا غير مشوب بالبطلان على اعتبار أن انعقاد الجلسة على هذا النحو، قد تم مراعاة للمادة 7 أعلاه بحيث تستقل المحكمة بتقدير مدى توفر العناصر المبررة للاستثناء دون معقب عليها في ذلك، خلافا للدعاوى التي يوجب القانون نظرها في جلسة سرية بالنسبة لبعض الدعاوى المتعلقة بشؤون الأسرة حيث رتب المشرع البطلان على نظرها في جلسة علنية.</w:t>
      </w:r>
      <w:r>
        <w:rPr>
          <w:rStyle w:val="Appelnotedebasdep"/>
          <w:rFonts w:cs="Simplified Arabic"/>
          <w:sz w:val="32"/>
          <w:szCs w:val="32"/>
          <w:lang w:val="en-US" w:bidi="ar-DZ"/>
        </w:rPr>
        <w:footnoteReference w:customMarkFollows="1" w:id="7"/>
        <w:t>(3)</w:t>
      </w:r>
    </w:p>
    <w:p w:rsidR="00D06D8C" w:rsidRPr="00633BF2" w:rsidRDefault="00D06D8C" w:rsidP="00D06D8C">
      <w:pPr>
        <w:bidi/>
        <w:spacing w:before="100" w:beforeAutospacing="1" w:after="100" w:afterAutospacing="1"/>
        <w:ind w:firstLine="1077"/>
        <w:jc w:val="both"/>
        <w:rPr>
          <w:rFonts w:cs="Simplified Arabic" w:hint="cs"/>
          <w:b/>
          <w:bCs/>
          <w:sz w:val="32"/>
          <w:szCs w:val="32"/>
          <w:rtl/>
          <w:lang w:val="en-US" w:bidi="ar-DZ"/>
        </w:rPr>
      </w:pPr>
      <w:proofErr w:type="gramStart"/>
      <w:r w:rsidRPr="00633BF2">
        <w:rPr>
          <w:rFonts w:cs="Simplified Arabic" w:hint="cs"/>
          <w:b/>
          <w:bCs/>
          <w:sz w:val="32"/>
          <w:szCs w:val="32"/>
          <w:rtl/>
          <w:lang w:val="en-US" w:bidi="ar-DZ"/>
        </w:rPr>
        <w:t>الفرع</w:t>
      </w:r>
      <w:proofErr w:type="gramEnd"/>
      <w:r w:rsidRPr="00633BF2">
        <w:rPr>
          <w:rFonts w:cs="Simplified Arabic" w:hint="cs"/>
          <w:b/>
          <w:bCs/>
          <w:sz w:val="32"/>
          <w:szCs w:val="32"/>
          <w:rtl/>
          <w:lang w:val="en-US" w:bidi="ar-DZ"/>
        </w:rPr>
        <w:t xml:space="preserve"> الثالث: مبدأ احترام حقوق الدفاع:</w:t>
      </w:r>
      <w:r>
        <w:rPr>
          <w:rStyle w:val="Appelnotedebasdep"/>
          <w:rFonts w:cs="Simplified Arabic"/>
          <w:b/>
          <w:bCs/>
          <w:sz w:val="32"/>
          <w:szCs w:val="32"/>
          <w:lang w:val="en-US" w:bidi="ar-DZ"/>
        </w:rPr>
        <w:footnoteReference w:customMarkFollows="1" w:id="8"/>
        <w:t>(1)</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 xml:space="preserve">وهو ذرة المبادئ الإجرائية وأهمها على وجه الإطلاق، والذي من أجله كافح الفقهاء زمنا طويلا، وهو سلاح صاحب الحق ضد جبروت السلطة وتعنت الظلم، ويجد مجاله المفضل في نطاق الإجراءات الجنائية، وله انعكاس في جميع القوانين الإجرائية، ومعناه ببساطة هو أنه لا يجوز الحكم على أحد قبل سماع دفاعه. </w:t>
      </w:r>
      <w:proofErr w:type="spellStart"/>
      <w:r>
        <w:rPr>
          <w:rFonts w:cs="Simplified Arabic" w:hint="cs"/>
          <w:sz w:val="32"/>
          <w:szCs w:val="32"/>
          <w:rtl/>
          <w:lang w:val="en-US" w:bidi="ar-DZ"/>
        </w:rPr>
        <w:t>وإطلاعه</w:t>
      </w:r>
      <w:proofErr w:type="spellEnd"/>
      <w:r>
        <w:rPr>
          <w:rFonts w:cs="Simplified Arabic" w:hint="cs"/>
          <w:sz w:val="32"/>
          <w:szCs w:val="32"/>
          <w:rtl/>
          <w:lang w:val="en-US" w:bidi="ar-DZ"/>
        </w:rPr>
        <w:t xml:space="preserve"> على أقوال خصمه </w:t>
      </w:r>
      <w:proofErr w:type="gramStart"/>
      <w:r>
        <w:rPr>
          <w:rFonts w:cs="Simplified Arabic" w:hint="cs"/>
          <w:sz w:val="32"/>
          <w:szCs w:val="32"/>
          <w:rtl/>
          <w:lang w:val="en-US" w:bidi="ar-DZ"/>
        </w:rPr>
        <w:t>وإعطاءه</w:t>
      </w:r>
      <w:proofErr w:type="gramEnd"/>
      <w:r>
        <w:rPr>
          <w:rFonts w:cs="Simplified Arabic" w:hint="cs"/>
          <w:sz w:val="32"/>
          <w:szCs w:val="32"/>
          <w:rtl/>
          <w:lang w:val="en-US" w:bidi="ar-DZ"/>
        </w:rPr>
        <w:t xml:space="preserve"> كل المهل اللازمة لإعداد جوابه في سماع هذا الجواب وتحقيق هذا الدفاع.</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 xml:space="preserve">و </w:t>
      </w:r>
      <w:proofErr w:type="gramStart"/>
      <w:r>
        <w:rPr>
          <w:rFonts w:cs="Simplified Arabic" w:hint="cs"/>
          <w:sz w:val="32"/>
          <w:szCs w:val="32"/>
          <w:rtl/>
          <w:lang w:val="en-US" w:bidi="ar-DZ"/>
        </w:rPr>
        <w:t>البطلان</w:t>
      </w:r>
      <w:proofErr w:type="gramEnd"/>
      <w:r>
        <w:rPr>
          <w:rFonts w:cs="Simplified Arabic" w:hint="cs"/>
          <w:sz w:val="32"/>
          <w:szCs w:val="32"/>
          <w:rtl/>
          <w:lang w:val="en-US" w:bidi="ar-DZ"/>
        </w:rPr>
        <w:t xml:space="preserve"> هو الوصف القانوني لأي عمل إجرائي يتم بالمخالفة لهذا المبدأ، وهو مبدأ متعلق بالنظام العام يثيره القاضي من تلقاء نفسه، ويتم التمسك به أمام جميع درجات التقاضي.</w:t>
      </w:r>
    </w:p>
    <w:p w:rsidR="00D06D8C" w:rsidRDefault="00D06D8C" w:rsidP="00D06D8C">
      <w:pPr>
        <w:bidi/>
        <w:ind w:firstLine="1080"/>
        <w:jc w:val="both"/>
        <w:rPr>
          <w:rFonts w:cs="Simplified Arabic" w:hint="cs"/>
          <w:sz w:val="32"/>
          <w:szCs w:val="32"/>
          <w:rtl/>
          <w:lang w:val="en-US" w:bidi="ar-DZ"/>
        </w:rPr>
      </w:pPr>
      <w:proofErr w:type="gramStart"/>
      <w:r>
        <w:rPr>
          <w:rFonts w:cs="Simplified Arabic" w:hint="cs"/>
          <w:sz w:val="32"/>
          <w:szCs w:val="32"/>
          <w:rtl/>
          <w:lang w:val="en-US" w:bidi="ar-DZ"/>
        </w:rPr>
        <w:t>ومبدأ</w:t>
      </w:r>
      <w:proofErr w:type="gramEnd"/>
      <w:r>
        <w:rPr>
          <w:rFonts w:cs="Simplified Arabic" w:hint="cs"/>
          <w:sz w:val="32"/>
          <w:szCs w:val="32"/>
          <w:rtl/>
          <w:lang w:val="en-US" w:bidi="ar-DZ"/>
        </w:rPr>
        <w:t xml:space="preserve"> حق الدفاع هو حق طبيعي مكرس بالمادة 150 من الدستور، إذ لا يجوز إصدار حكم ضد أي شخص دون سماعه، أو تنبيهه إلى حقه في الدفاع عن نفسه.</w:t>
      </w:r>
      <w:r>
        <w:rPr>
          <w:rStyle w:val="Appelnotedebasdep"/>
          <w:rFonts w:cs="Simplified Arabic"/>
          <w:sz w:val="32"/>
          <w:szCs w:val="32"/>
          <w:lang w:val="en-US" w:bidi="ar-DZ"/>
        </w:rPr>
        <w:footnoteReference w:customMarkFollows="1" w:id="9"/>
        <w:t>(2)</w:t>
      </w:r>
    </w:p>
    <w:p w:rsidR="00D06D8C" w:rsidRPr="00633BF2" w:rsidRDefault="00D06D8C" w:rsidP="00D06D8C">
      <w:pPr>
        <w:bidi/>
        <w:spacing w:before="100" w:beforeAutospacing="1" w:after="100" w:afterAutospacing="1"/>
        <w:ind w:firstLine="1077"/>
        <w:jc w:val="both"/>
        <w:rPr>
          <w:rFonts w:cs="Simplified Arabic" w:hint="cs"/>
          <w:b/>
          <w:bCs/>
          <w:sz w:val="32"/>
          <w:szCs w:val="32"/>
          <w:rtl/>
          <w:lang w:val="en-US" w:bidi="ar-DZ"/>
        </w:rPr>
      </w:pPr>
      <w:proofErr w:type="gramStart"/>
      <w:r w:rsidRPr="00633BF2">
        <w:rPr>
          <w:rFonts w:cs="Simplified Arabic" w:hint="cs"/>
          <w:b/>
          <w:bCs/>
          <w:sz w:val="32"/>
          <w:szCs w:val="32"/>
          <w:rtl/>
          <w:lang w:val="en-US" w:bidi="ar-DZ"/>
        </w:rPr>
        <w:lastRenderedPageBreak/>
        <w:t>الفرع</w:t>
      </w:r>
      <w:proofErr w:type="gramEnd"/>
      <w:r w:rsidRPr="00633BF2">
        <w:rPr>
          <w:rFonts w:cs="Simplified Arabic" w:hint="cs"/>
          <w:b/>
          <w:bCs/>
          <w:sz w:val="32"/>
          <w:szCs w:val="32"/>
          <w:rtl/>
          <w:lang w:val="en-US" w:bidi="ar-DZ"/>
        </w:rPr>
        <w:t xml:space="preserve"> الرابع: مبدأ حياد القاضي:</w:t>
      </w:r>
    </w:p>
    <w:p w:rsidR="00D06D8C" w:rsidRDefault="00D06D8C" w:rsidP="00D06D8C">
      <w:pPr>
        <w:bidi/>
        <w:ind w:firstLine="1080"/>
        <w:jc w:val="both"/>
        <w:rPr>
          <w:rFonts w:cs="Simplified Arabic" w:hint="cs"/>
          <w:sz w:val="32"/>
          <w:szCs w:val="32"/>
          <w:rtl/>
          <w:lang w:val="en-US" w:bidi="ar-DZ"/>
        </w:rPr>
      </w:pPr>
      <w:proofErr w:type="gramStart"/>
      <w:r>
        <w:rPr>
          <w:rFonts w:cs="Simplified Arabic" w:hint="cs"/>
          <w:sz w:val="32"/>
          <w:szCs w:val="32"/>
          <w:rtl/>
          <w:lang w:val="en-US" w:bidi="ar-DZ"/>
        </w:rPr>
        <w:t>القاضي</w:t>
      </w:r>
      <w:proofErr w:type="gramEnd"/>
      <w:r>
        <w:rPr>
          <w:rFonts w:cs="Simplified Arabic" w:hint="cs"/>
          <w:sz w:val="32"/>
          <w:szCs w:val="32"/>
          <w:rtl/>
          <w:lang w:val="en-US" w:bidi="ar-DZ"/>
        </w:rPr>
        <w:t xml:space="preserve"> هو شخص له ولاية القضاء يحكم وفقا للقانون بين المتنازعين، ويجب أن يكون محايدا. </w:t>
      </w:r>
      <w:proofErr w:type="gramStart"/>
      <w:r>
        <w:rPr>
          <w:rFonts w:cs="Simplified Arabic" w:hint="cs"/>
          <w:sz w:val="32"/>
          <w:szCs w:val="32"/>
          <w:rtl/>
          <w:lang w:val="en-US" w:bidi="ar-DZ"/>
        </w:rPr>
        <w:t>ويقصد</w:t>
      </w:r>
      <w:proofErr w:type="gramEnd"/>
      <w:r>
        <w:rPr>
          <w:rFonts w:cs="Simplified Arabic" w:hint="cs"/>
          <w:sz w:val="32"/>
          <w:szCs w:val="32"/>
          <w:rtl/>
          <w:lang w:val="en-US" w:bidi="ar-DZ"/>
        </w:rPr>
        <w:t xml:space="preserve"> بالحياد عدم الميل إلى هذا الخصم أو ذاك ولا يساعد أي منهما، ولا يضيف وقائع من عنده للنزاع، ولا يقوم نيابة عن الخصوم بالإثبات، وإنما هو يفصل فيما يقدم إليه من وقائع تم طرحها و إثباتها أمامه بمعرفة الخصوم.</w:t>
      </w:r>
      <w:r>
        <w:rPr>
          <w:rStyle w:val="Appelnotedebasdep"/>
          <w:rFonts w:cs="Simplified Arabic"/>
          <w:sz w:val="32"/>
          <w:szCs w:val="32"/>
          <w:lang w:val="en-US" w:bidi="ar-DZ"/>
        </w:rPr>
        <w:footnoteReference w:customMarkFollows="1" w:id="10"/>
        <w:t>(3)</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وذلك لأن الدعوى المدنية مبدئيا ملك للأطراف ودور القاضي فيها لا يتعدى دور الحكم، لما هو ملزم به من حياد وفقا لما سبق قوله، إلا أن التوجه الحديث في فقه الإجراءات و القانون المقارن، ينحو نحو إعطاء القاضي المدني دورا أكثر إيجابية وفعالية في تسيير إجراءات الخصومة، ولذلك تم بموجب قانون الإجراءات المدنية والإدارية الجديد صلاحية إلزام الخصوم بالحضور، وتقديم المستندات، والأمر باتخاذ أي إجراء يراه ضروريا، منعا لتعسف الأطراف فيما لهم من حقوق أثناء سير إجراءات الخصومة.</w:t>
      </w:r>
      <w:r>
        <w:rPr>
          <w:rStyle w:val="Appelnotedebasdep"/>
          <w:rFonts w:cs="Simplified Arabic"/>
          <w:sz w:val="32"/>
          <w:szCs w:val="32"/>
          <w:lang w:val="en-US" w:bidi="ar-DZ"/>
        </w:rPr>
        <w:footnoteReference w:customMarkFollows="1" w:id="11"/>
        <w:t>(4)</w:t>
      </w:r>
    </w:p>
    <w:p w:rsidR="00D06D8C" w:rsidRDefault="00D06D8C" w:rsidP="00D06D8C">
      <w:pPr>
        <w:bidi/>
        <w:spacing w:before="100" w:beforeAutospacing="1" w:after="100" w:afterAutospacing="1"/>
        <w:ind w:firstLine="1077"/>
        <w:jc w:val="both"/>
        <w:rPr>
          <w:rFonts w:cs="Simplified Arabic" w:hint="cs"/>
          <w:sz w:val="32"/>
          <w:szCs w:val="32"/>
          <w:rtl/>
          <w:lang w:val="en-US" w:bidi="ar-DZ"/>
        </w:rPr>
      </w:pPr>
      <w:proofErr w:type="gramStart"/>
      <w:r w:rsidRPr="00633BF2">
        <w:rPr>
          <w:rFonts w:cs="Simplified Arabic" w:hint="cs"/>
          <w:b/>
          <w:bCs/>
          <w:sz w:val="32"/>
          <w:szCs w:val="32"/>
          <w:rtl/>
          <w:lang w:val="en-US" w:bidi="ar-DZ"/>
        </w:rPr>
        <w:t>المطلب</w:t>
      </w:r>
      <w:proofErr w:type="gramEnd"/>
      <w:r w:rsidRPr="00633BF2">
        <w:rPr>
          <w:rFonts w:cs="Simplified Arabic" w:hint="cs"/>
          <w:b/>
          <w:bCs/>
          <w:sz w:val="32"/>
          <w:szCs w:val="32"/>
          <w:rtl/>
          <w:lang w:val="en-US" w:bidi="ar-DZ"/>
        </w:rPr>
        <w:t xml:space="preserve"> الثاني</w:t>
      </w:r>
      <w:r>
        <w:rPr>
          <w:rFonts w:cs="Simplified Arabic" w:hint="cs"/>
          <w:sz w:val="32"/>
          <w:szCs w:val="32"/>
          <w:rtl/>
          <w:lang w:val="en-US" w:bidi="ar-DZ"/>
        </w:rPr>
        <w:t>: المبادئ الخاصة للتقاضي</w:t>
      </w:r>
    </w:p>
    <w:p w:rsidR="00D06D8C" w:rsidRDefault="00D06D8C" w:rsidP="00D06D8C">
      <w:pPr>
        <w:bidi/>
        <w:ind w:firstLine="1080"/>
        <w:jc w:val="both"/>
        <w:rPr>
          <w:rFonts w:cs="Simplified Arabic" w:hint="cs"/>
          <w:sz w:val="32"/>
          <w:szCs w:val="32"/>
          <w:rtl/>
          <w:lang w:val="en-US" w:bidi="ar-DZ"/>
        </w:rPr>
      </w:pPr>
      <w:proofErr w:type="gramStart"/>
      <w:r>
        <w:rPr>
          <w:rFonts w:cs="Simplified Arabic" w:hint="cs"/>
          <w:sz w:val="32"/>
          <w:szCs w:val="32"/>
          <w:rtl/>
          <w:lang w:val="en-US" w:bidi="ar-DZ"/>
        </w:rPr>
        <w:t>في</w:t>
      </w:r>
      <w:proofErr w:type="gramEnd"/>
      <w:r>
        <w:rPr>
          <w:rFonts w:cs="Simplified Arabic" w:hint="cs"/>
          <w:sz w:val="32"/>
          <w:szCs w:val="32"/>
          <w:rtl/>
          <w:lang w:val="en-US" w:bidi="ar-DZ"/>
        </w:rPr>
        <w:t xml:space="preserve"> هذا المطلب سنتناول مبدأين أساسين من المبادئ الخاصة للتقاضي، واللذان يخصان الدعاوى المدنية والإدارية وهما الفصل في القضايا ضمن آجال معقولة(الفرع الأول)، و كفالة طرق الطعن ( الفرع الثاني).</w:t>
      </w:r>
    </w:p>
    <w:p w:rsidR="00D06D8C" w:rsidRPr="0062216F" w:rsidRDefault="00D06D8C" w:rsidP="00D06D8C">
      <w:pPr>
        <w:bidi/>
        <w:spacing w:before="100" w:beforeAutospacing="1" w:after="100" w:afterAutospacing="1"/>
        <w:ind w:firstLine="1077"/>
        <w:jc w:val="both"/>
        <w:rPr>
          <w:rFonts w:cs="Simplified Arabic" w:hint="cs"/>
          <w:b/>
          <w:bCs/>
          <w:sz w:val="32"/>
          <w:szCs w:val="32"/>
          <w:rtl/>
          <w:lang w:val="en-US" w:bidi="ar-DZ"/>
        </w:rPr>
      </w:pPr>
      <w:proofErr w:type="gramStart"/>
      <w:r w:rsidRPr="0062216F">
        <w:rPr>
          <w:rFonts w:cs="Simplified Arabic" w:hint="cs"/>
          <w:b/>
          <w:bCs/>
          <w:sz w:val="32"/>
          <w:szCs w:val="32"/>
          <w:rtl/>
          <w:lang w:val="en-US" w:bidi="ar-DZ"/>
        </w:rPr>
        <w:t>الفرع</w:t>
      </w:r>
      <w:proofErr w:type="gramEnd"/>
      <w:r w:rsidRPr="0062216F">
        <w:rPr>
          <w:rFonts w:cs="Simplified Arabic" w:hint="cs"/>
          <w:b/>
          <w:bCs/>
          <w:sz w:val="32"/>
          <w:szCs w:val="32"/>
          <w:rtl/>
          <w:lang w:val="en-US" w:bidi="ar-DZ"/>
        </w:rPr>
        <w:t xml:space="preserve"> الأول: الفصل في القضايا ضمن آجال معقولة</w:t>
      </w:r>
      <w:r>
        <w:rPr>
          <w:rFonts w:cs="Simplified Arabic" w:hint="cs"/>
          <w:b/>
          <w:bCs/>
          <w:sz w:val="32"/>
          <w:szCs w:val="32"/>
          <w:rtl/>
          <w:lang w:val="en-US" w:bidi="ar-DZ"/>
        </w:rPr>
        <w:t>:</w:t>
      </w:r>
      <w:r>
        <w:rPr>
          <w:rStyle w:val="Appelnotedebasdep"/>
          <w:rFonts w:cs="Simplified Arabic"/>
          <w:b/>
          <w:bCs/>
          <w:sz w:val="32"/>
          <w:szCs w:val="32"/>
          <w:lang w:val="en-US" w:bidi="ar-DZ"/>
        </w:rPr>
        <w:footnoteReference w:customMarkFollows="1" w:id="12"/>
        <w:t>(1)</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lastRenderedPageBreak/>
        <w:t xml:space="preserve">هو واجب يقع على القاضي احترامه عملا بأحكام المادة 10 من القانون العضوي رقم 04-11 المتضمن القانون الأساسي للقضاء (( يجب على القاضي أن يفصل في القضايا المعروضة عليه في أحسن الآجال)). </w:t>
      </w:r>
      <w:proofErr w:type="gramStart"/>
      <w:r>
        <w:rPr>
          <w:rFonts w:cs="Simplified Arabic" w:hint="cs"/>
          <w:sz w:val="32"/>
          <w:szCs w:val="32"/>
          <w:rtl/>
          <w:lang w:val="en-US" w:bidi="ar-DZ"/>
        </w:rPr>
        <w:t>كما</w:t>
      </w:r>
      <w:proofErr w:type="gramEnd"/>
      <w:r>
        <w:rPr>
          <w:rFonts w:cs="Simplified Arabic" w:hint="cs"/>
          <w:sz w:val="32"/>
          <w:szCs w:val="32"/>
          <w:rtl/>
          <w:lang w:val="en-US" w:bidi="ar-DZ"/>
        </w:rPr>
        <w:t xml:space="preserve"> نص عليه العهد الدولي للحقوق المدنية و السياسية الذي بمقتضاه يجب الفصل في الخصومة خلال آجال معقولة، يتم تقديرها حسب طبيعة النزاع.</w:t>
      </w:r>
      <w:r>
        <w:rPr>
          <w:rStyle w:val="Appelnotedebasdep"/>
          <w:rFonts w:cs="Simplified Arabic"/>
          <w:sz w:val="32"/>
          <w:szCs w:val="32"/>
          <w:lang w:val="en-US" w:bidi="ar-DZ"/>
        </w:rPr>
        <w:footnoteReference w:customMarkFollows="1" w:id="13"/>
        <w:t>(2)</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وما جاء ضمن التزامات القاضي الوارد ذكرها في مداولة المجلس الأعلى للقضاء حول أخلاقيات مهنة القضاة، فالقاضي ملزم بأداء واجباته القضائية بكل نجاعة وإتقان و في الآجال المعقولة.</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 xml:space="preserve">ومع أن الآجال المعقولة، هو تعبير يتم بالطابع الفضفاض يصعب إدراكه، إلا ان هناك مؤشرات تساعد على تقييم تصرف القاضي بشأن احترامه للمبدأ. </w:t>
      </w:r>
      <w:proofErr w:type="gramStart"/>
      <w:r>
        <w:rPr>
          <w:rFonts w:cs="Simplified Arabic" w:hint="cs"/>
          <w:sz w:val="32"/>
          <w:szCs w:val="32"/>
          <w:rtl/>
          <w:lang w:val="en-US" w:bidi="ar-DZ"/>
        </w:rPr>
        <w:t>فتأجيل</w:t>
      </w:r>
      <w:proofErr w:type="gramEnd"/>
      <w:r>
        <w:rPr>
          <w:rFonts w:cs="Simplified Arabic" w:hint="cs"/>
          <w:sz w:val="32"/>
          <w:szCs w:val="32"/>
          <w:rtl/>
          <w:lang w:val="en-US" w:bidi="ar-DZ"/>
        </w:rPr>
        <w:t xml:space="preserve"> النظر في قضية لعدة جلسات رغم أنها مهيأة للفصل أو منح فرص الرد لأطراف الخصومة دون ضابط محدد، يشكلان أمثلة حية عن عدم احترام القاضي للمعقول من الآجال.</w:t>
      </w:r>
    </w:p>
    <w:p w:rsidR="00D06D8C" w:rsidRPr="0062216F" w:rsidRDefault="00D06D8C" w:rsidP="00D06D8C">
      <w:pPr>
        <w:bidi/>
        <w:spacing w:before="100" w:beforeAutospacing="1" w:after="100" w:afterAutospacing="1"/>
        <w:ind w:firstLine="1077"/>
        <w:jc w:val="both"/>
        <w:rPr>
          <w:rFonts w:cs="Simplified Arabic" w:hint="cs"/>
          <w:b/>
          <w:bCs/>
          <w:sz w:val="32"/>
          <w:szCs w:val="32"/>
          <w:rtl/>
          <w:lang w:val="en-US" w:bidi="ar-DZ"/>
        </w:rPr>
      </w:pPr>
      <w:r w:rsidRPr="0062216F">
        <w:rPr>
          <w:rFonts w:cs="Simplified Arabic" w:hint="cs"/>
          <w:b/>
          <w:bCs/>
          <w:sz w:val="32"/>
          <w:szCs w:val="32"/>
          <w:rtl/>
          <w:lang w:val="en-US" w:bidi="ar-DZ"/>
        </w:rPr>
        <w:t xml:space="preserve">الفرع الثاني: كفالة طرق </w:t>
      </w:r>
      <w:proofErr w:type="gramStart"/>
      <w:r w:rsidRPr="0062216F">
        <w:rPr>
          <w:rFonts w:cs="Simplified Arabic" w:hint="cs"/>
          <w:b/>
          <w:bCs/>
          <w:sz w:val="32"/>
          <w:szCs w:val="32"/>
          <w:rtl/>
          <w:lang w:val="en-US" w:bidi="ar-DZ"/>
        </w:rPr>
        <w:t>الطعن</w:t>
      </w:r>
      <w:proofErr w:type="gramEnd"/>
      <w:r>
        <w:rPr>
          <w:rFonts w:cs="Simplified Arabic" w:hint="cs"/>
          <w:b/>
          <w:bCs/>
          <w:sz w:val="32"/>
          <w:szCs w:val="32"/>
          <w:rtl/>
          <w:lang w:val="en-US" w:bidi="ar-DZ"/>
        </w:rPr>
        <w:t>:</w:t>
      </w:r>
    </w:p>
    <w:p w:rsidR="00D06D8C" w:rsidRDefault="00D06D8C" w:rsidP="00D06D8C">
      <w:pPr>
        <w:bidi/>
        <w:ind w:firstLine="1080"/>
        <w:jc w:val="both"/>
        <w:rPr>
          <w:rFonts w:cs="Simplified Arabic" w:hint="cs"/>
          <w:sz w:val="32"/>
          <w:szCs w:val="32"/>
          <w:rtl/>
          <w:lang w:val="en-US" w:bidi="ar-DZ"/>
        </w:rPr>
      </w:pPr>
      <w:r>
        <w:rPr>
          <w:rFonts w:cs="Simplified Arabic" w:hint="cs"/>
          <w:sz w:val="32"/>
          <w:szCs w:val="32"/>
          <w:rtl/>
          <w:lang w:val="en-US" w:bidi="ar-DZ"/>
        </w:rPr>
        <w:t xml:space="preserve">لقد أتاح المشرع للمتقاضي الحق في الطعن في الأحكام والقرارات بعدة طرق قد تكون طرق عادية، كالاستئناف في المادة 332 من قانون الإجراءات المدنية و الإدارية وذلك بهدف مراجعة أو إلغاء الحكم الصادر عن المحكمة والمعارضة. </w:t>
      </w:r>
    </w:p>
    <w:p w:rsidR="00D06D8C" w:rsidRDefault="00D06D8C" w:rsidP="00D06D8C">
      <w:pPr>
        <w:bidi/>
        <w:ind w:firstLine="1080"/>
        <w:jc w:val="both"/>
        <w:rPr>
          <w:rFonts w:cs="Simplified Arabic" w:hint="cs"/>
          <w:sz w:val="32"/>
          <w:szCs w:val="32"/>
          <w:rtl/>
          <w:lang w:val="en-US" w:bidi="ar-DZ"/>
        </w:rPr>
      </w:pPr>
      <w:proofErr w:type="gramStart"/>
      <w:r>
        <w:rPr>
          <w:rFonts w:cs="Simplified Arabic" w:hint="cs"/>
          <w:sz w:val="32"/>
          <w:szCs w:val="32"/>
          <w:rtl/>
          <w:lang w:val="en-US" w:bidi="ar-DZ"/>
        </w:rPr>
        <w:t>أيضا</w:t>
      </w:r>
      <w:proofErr w:type="gramEnd"/>
      <w:r>
        <w:rPr>
          <w:rFonts w:cs="Simplified Arabic" w:hint="cs"/>
          <w:sz w:val="32"/>
          <w:szCs w:val="32"/>
          <w:rtl/>
          <w:lang w:val="en-US" w:bidi="ar-DZ"/>
        </w:rPr>
        <w:t xml:space="preserve"> هناك المعارضة ووردت في المادة 327 و التي جاء فيها (( تهدف المعارضة المرفوعة من قبل الخصم المتغيب، إلى مراجعة، يفصل في القضية من جديد من حيث الوقائع و القانون، ويصبح الحكم أو القرار مشمولا بالنفاذ المعجل)). </w:t>
      </w:r>
    </w:p>
    <w:p w:rsidR="00D06D8C" w:rsidRDefault="00D06D8C" w:rsidP="00D06D8C">
      <w:pPr>
        <w:bidi/>
        <w:ind w:firstLine="1080"/>
        <w:jc w:val="both"/>
        <w:rPr>
          <w:rFonts w:cs="Simplified Arabic" w:hint="cs"/>
          <w:sz w:val="32"/>
          <w:szCs w:val="32"/>
          <w:rtl/>
          <w:lang w:val="en-US" w:bidi="ar-DZ"/>
        </w:rPr>
      </w:pPr>
      <w:proofErr w:type="gramStart"/>
      <w:r>
        <w:rPr>
          <w:rFonts w:cs="Simplified Arabic" w:hint="cs"/>
          <w:sz w:val="32"/>
          <w:szCs w:val="32"/>
          <w:rtl/>
          <w:lang w:val="en-US" w:bidi="ar-DZ"/>
        </w:rPr>
        <w:lastRenderedPageBreak/>
        <w:t>كما</w:t>
      </w:r>
      <w:proofErr w:type="gramEnd"/>
      <w:r>
        <w:rPr>
          <w:rFonts w:cs="Simplified Arabic" w:hint="cs"/>
          <w:sz w:val="32"/>
          <w:szCs w:val="32"/>
          <w:rtl/>
          <w:lang w:val="en-US" w:bidi="ar-DZ"/>
        </w:rPr>
        <w:t xml:space="preserve"> قد تكون هذه الطرق غير عادية مثل الطعن بالنقض ( المادة 349) و التماس إعادة النظر( المادة 390) و اعتراض الغير الخارج عن الخصومة ( المادة 380).</w:t>
      </w:r>
    </w:p>
    <w:p w:rsidR="00D06D8C" w:rsidRPr="00B94033" w:rsidRDefault="00D06D8C" w:rsidP="00D06D8C">
      <w:pPr>
        <w:bidi/>
        <w:ind w:firstLine="1080"/>
        <w:jc w:val="both"/>
        <w:rPr>
          <w:rFonts w:cs="Simplified Arabic" w:hint="cs"/>
          <w:sz w:val="32"/>
          <w:szCs w:val="32"/>
          <w:rtl/>
          <w:lang w:val="en-US" w:bidi="ar-DZ"/>
        </w:rPr>
      </w:pPr>
      <w:proofErr w:type="gramStart"/>
      <w:r>
        <w:rPr>
          <w:rFonts w:cs="Simplified Arabic" w:hint="cs"/>
          <w:sz w:val="32"/>
          <w:szCs w:val="32"/>
          <w:rtl/>
          <w:lang w:val="en-US" w:bidi="ar-DZ"/>
        </w:rPr>
        <w:t>وكفالة</w:t>
      </w:r>
      <w:proofErr w:type="gramEnd"/>
      <w:r>
        <w:rPr>
          <w:rFonts w:cs="Simplified Arabic" w:hint="cs"/>
          <w:sz w:val="32"/>
          <w:szCs w:val="32"/>
          <w:rtl/>
          <w:lang w:val="en-US" w:bidi="ar-DZ"/>
        </w:rPr>
        <w:t xml:space="preserve"> طرق الطعن في التشريع تهدف للسماح للمتقاضي بتدارك ما يحدث من خطأ قضائي، فيما يصدر عن الجهة القضائية من حكم أو قرار، إما أمام نفس الجهة القضائية أو أمام جهة قضائية أعلى منها درجة.</w:t>
      </w:r>
      <w:r>
        <w:rPr>
          <w:rStyle w:val="Appelnotedebasdep"/>
          <w:rFonts w:cs="Simplified Arabic"/>
          <w:sz w:val="32"/>
          <w:szCs w:val="32"/>
          <w:lang w:val="en-US" w:bidi="ar-DZ"/>
        </w:rPr>
        <w:footnoteReference w:customMarkFollows="1" w:id="14"/>
        <w:t>(1)</w:t>
      </w: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D06D8C" w:rsidRDefault="00D06D8C" w:rsidP="00D06D8C">
      <w:pPr>
        <w:bidi/>
        <w:jc w:val="center"/>
        <w:rPr>
          <w:rFonts w:cs="Simplified Arabic" w:hint="cs"/>
          <w:b/>
          <w:bCs/>
          <w:sz w:val="32"/>
          <w:szCs w:val="32"/>
          <w:rtl/>
        </w:rPr>
      </w:pPr>
    </w:p>
    <w:p w:rsidR="007C3493" w:rsidRDefault="007C3493" w:rsidP="00D06D8C">
      <w:pPr>
        <w:jc w:val="right"/>
      </w:pPr>
    </w:p>
    <w:sectPr w:rsidR="007C3493" w:rsidSect="000E398E">
      <w:headerReference w:type="default" r:id="rId9"/>
      <w:footerReference w:type="default" r:id="rId10"/>
      <w:pgSz w:w="11907" w:h="15309" w:code="9"/>
      <w:pgMar w:top="1417" w:right="1417" w:bottom="1417" w:left="141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F9C" w:rsidRDefault="005C3F9C" w:rsidP="00D06D8C">
      <w:r>
        <w:separator/>
      </w:r>
    </w:p>
  </w:endnote>
  <w:endnote w:type="continuationSeparator" w:id="0">
    <w:p w:rsidR="005C3F9C" w:rsidRDefault="005C3F9C" w:rsidP="00D0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197780"/>
      <w:docPartObj>
        <w:docPartGallery w:val="Page Numbers (Bottom of Page)"/>
        <w:docPartUnique/>
      </w:docPartObj>
    </w:sdtPr>
    <w:sdtContent>
      <w:p w:rsidR="00D06D8C" w:rsidRDefault="00D06D8C">
        <w:pPr>
          <w:pStyle w:val="Pieddepage"/>
          <w:jc w:val="right"/>
        </w:pPr>
        <w:r>
          <w:fldChar w:fldCharType="begin"/>
        </w:r>
        <w:r>
          <w:instrText>PAGE   \* MERGEFORMAT</w:instrText>
        </w:r>
        <w:r>
          <w:fldChar w:fldCharType="separate"/>
        </w:r>
        <w:r>
          <w:rPr>
            <w:noProof/>
          </w:rPr>
          <w:t>1</w:t>
        </w:r>
        <w:r>
          <w:fldChar w:fldCharType="end"/>
        </w:r>
      </w:p>
    </w:sdtContent>
  </w:sdt>
  <w:p w:rsidR="00D06D8C" w:rsidRDefault="00D06D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F9C" w:rsidRDefault="005C3F9C" w:rsidP="00D06D8C">
      <w:r>
        <w:separator/>
      </w:r>
    </w:p>
  </w:footnote>
  <w:footnote w:type="continuationSeparator" w:id="0">
    <w:p w:rsidR="005C3F9C" w:rsidRDefault="005C3F9C" w:rsidP="00D06D8C">
      <w:r>
        <w:continuationSeparator/>
      </w:r>
    </w:p>
  </w:footnote>
  <w:footnote w:id="1">
    <w:p w:rsidR="00D06D8C" w:rsidRPr="00FC63E4" w:rsidRDefault="00D06D8C" w:rsidP="00D06D8C">
      <w:pPr>
        <w:pStyle w:val="Notedebasdepage"/>
        <w:bidi/>
        <w:rPr>
          <w:rFonts w:cs="Simplified Arabic" w:hint="cs"/>
          <w:sz w:val="24"/>
          <w:szCs w:val="24"/>
          <w:rtl/>
          <w:lang w:bidi="ar-DZ"/>
        </w:rPr>
      </w:pPr>
      <w:r w:rsidRPr="00FC63E4">
        <w:rPr>
          <w:rStyle w:val="Appelnotedebasdep"/>
          <w:rFonts w:cs="Simplified Arabic"/>
          <w:sz w:val="24"/>
          <w:szCs w:val="24"/>
        </w:rPr>
        <w:t>(1)</w:t>
      </w:r>
      <w:r w:rsidRPr="00FC63E4">
        <w:rPr>
          <w:rFonts w:cs="Simplified Arabic"/>
          <w:sz w:val="24"/>
          <w:szCs w:val="24"/>
        </w:rPr>
        <w:t xml:space="preserve"> </w:t>
      </w:r>
      <w:r w:rsidRPr="00FC63E4">
        <w:rPr>
          <w:rFonts w:cs="Simplified Arabic" w:hint="cs"/>
          <w:sz w:val="24"/>
          <w:szCs w:val="24"/>
          <w:rtl/>
        </w:rPr>
        <w:t xml:space="preserve"> الجريدة الرسمية </w:t>
      </w:r>
      <w:proofErr w:type="spellStart"/>
      <w:r w:rsidRPr="00FC63E4">
        <w:rPr>
          <w:rFonts w:cs="Simplified Arabic" w:hint="cs"/>
          <w:sz w:val="24"/>
          <w:szCs w:val="24"/>
          <w:rtl/>
        </w:rPr>
        <w:t>للمناقشات.</w:t>
      </w:r>
      <w:proofErr w:type="gramStart"/>
      <w:r w:rsidRPr="00FC63E4">
        <w:rPr>
          <w:rFonts w:cs="Simplified Arabic" w:hint="cs"/>
          <w:sz w:val="24"/>
          <w:szCs w:val="24"/>
          <w:rtl/>
        </w:rPr>
        <w:t>المجلس</w:t>
      </w:r>
      <w:proofErr w:type="spellEnd"/>
      <w:proofErr w:type="gramEnd"/>
      <w:r w:rsidRPr="00FC63E4">
        <w:rPr>
          <w:rFonts w:cs="Simplified Arabic" w:hint="cs"/>
          <w:sz w:val="24"/>
          <w:szCs w:val="24"/>
          <w:rtl/>
        </w:rPr>
        <w:t xml:space="preserve"> الشعبي الوطني. السنة الأولى </w:t>
      </w:r>
      <w:proofErr w:type="gramStart"/>
      <w:r w:rsidRPr="00FC63E4">
        <w:rPr>
          <w:rFonts w:cs="Simplified Arabic" w:hint="cs"/>
          <w:sz w:val="24"/>
          <w:szCs w:val="24"/>
          <w:rtl/>
        </w:rPr>
        <w:t>رقم</w:t>
      </w:r>
      <w:proofErr w:type="gramEnd"/>
      <w:r w:rsidRPr="00FC63E4">
        <w:rPr>
          <w:rFonts w:cs="Simplified Arabic" w:hint="cs"/>
          <w:sz w:val="24"/>
          <w:szCs w:val="24"/>
          <w:rtl/>
        </w:rPr>
        <w:t xml:space="preserve"> 47. ص 5.</w:t>
      </w:r>
    </w:p>
  </w:footnote>
  <w:footnote w:id="2">
    <w:p w:rsidR="00D06D8C" w:rsidRDefault="00D06D8C" w:rsidP="00D06D8C">
      <w:pPr>
        <w:pStyle w:val="Notedebasdepage"/>
        <w:bidi/>
        <w:rPr>
          <w:rFonts w:cs="Simplified Arabic" w:hint="cs"/>
          <w:sz w:val="24"/>
          <w:szCs w:val="24"/>
          <w:rtl/>
        </w:rPr>
      </w:pPr>
      <w:r w:rsidRPr="00FC63E4">
        <w:rPr>
          <w:rStyle w:val="Appelnotedebasdep"/>
          <w:rFonts w:cs="Simplified Arabic"/>
          <w:sz w:val="24"/>
          <w:szCs w:val="24"/>
        </w:rPr>
        <w:t>(2)</w:t>
      </w:r>
      <w:r w:rsidRPr="00FC63E4">
        <w:rPr>
          <w:rFonts w:cs="Simplified Arabic"/>
          <w:sz w:val="24"/>
          <w:szCs w:val="24"/>
        </w:rPr>
        <w:t xml:space="preserve"> </w:t>
      </w:r>
      <w:r w:rsidRPr="00FC63E4">
        <w:rPr>
          <w:rFonts w:cs="Simplified Arabic" w:hint="cs"/>
          <w:sz w:val="24"/>
          <w:szCs w:val="24"/>
          <w:rtl/>
        </w:rPr>
        <w:t xml:space="preserve"> بشير </w:t>
      </w:r>
      <w:proofErr w:type="spellStart"/>
      <w:r w:rsidRPr="00FC63E4">
        <w:rPr>
          <w:rFonts w:cs="Simplified Arabic" w:hint="cs"/>
          <w:sz w:val="24"/>
          <w:szCs w:val="24"/>
          <w:rtl/>
        </w:rPr>
        <w:t>أمقران</w:t>
      </w:r>
      <w:proofErr w:type="spellEnd"/>
      <w:r w:rsidRPr="00FC63E4">
        <w:rPr>
          <w:rFonts w:cs="Simplified Arabic" w:hint="cs"/>
          <w:sz w:val="24"/>
          <w:szCs w:val="24"/>
          <w:rtl/>
        </w:rPr>
        <w:t xml:space="preserve"> . </w:t>
      </w:r>
      <w:proofErr w:type="gramStart"/>
      <w:r w:rsidRPr="00FC63E4">
        <w:rPr>
          <w:rFonts w:cs="Simplified Arabic" w:hint="cs"/>
          <w:sz w:val="24"/>
          <w:szCs w:val="24"/>
          <w:rtl/>
        </w:rPr>
        <w:t>النظام</w:t>
      </w:r>
      <w:proofErr w:type="gramEnd"/>
      <w:r w:rsidRPr="00FC63E4">
        <w:rPr>
          <w:rFonts w:cs="Simplified Arabic" w:hint="cs"/>
          <w:sz w:val="24"/>
          <w:szCs w:val="24"/>
          <w:rtl/>
        </w:rPr>
        <w:t xml:space="preserve"> القضائي الجزائري، ديوان المطبوعات الجامعية، الجزائر. ص 40 ، 41.</w:t>
      </w:r>
    </w:p>
    <w:p w:rsidR="00D06D8C" w:rsidRDefault="00D06D8C" w:rsidP="00D06D8C">
      <w:pPr>
        <w:pStyle w:val="Notedebasdepage"/>
        <w:bidi/>
        <w:rPr>
          <w:rFonts w:cs="Simplified Arabic" w:hint="cs"/>
          <w:sz w:val="24"/>
          <w:szCs w:val="24"/>
          <w:rtl/>
        </w:rPr>
      </w:pPr>
    </w:p>
    <w:p w:rsidR="00D06D8C" w:rsidRPr="00FC63E4" w:rsidRDefault="00D06D8C" w:rsidP="00D06D8C">
      <w:pPr>
        <w:pStyle w:val="Notedebasdepage"/>
        <w:bidi/>
        <w:rPr>
          <w:rFonts w:hint="cs"/>
          <w:rtl/>
          <w:lang w:bidi="ar-DZ"/>
        </w:rPr>
      </w:pPr>
    </w:p>
  </w:footnote>
  <w:footnote w:id="3">
    <w:p w:rsidR="00D06D8C" w:rsidRPr="00C17367" w:rsidRDefault="00D06D8C" w:rsidP="00D06D8C">
      <w:pPr>
        <w:pStyle w:val="Notedebasdepage"/>
        <w:bidi/>
        <w:rPr>
          <w:rFonts w:cs="Simplified Arabic" w:hint="cs"/>
          <w:sz w:val="24"/>
          <w:szCs w:val="24"/>
          <w:rtl/>
          <w:lang w:bidi="ar-DZ"/>
        </w:rPr>
      </w:pPr>
      <w:r w:rsidRPr="00C17367">
        <w:rPr>
          <w:rStyle w:val="Appelnotedebasdep"/>
          <w:rFonts w:cs="Simplified Arabic"/>
          <w:sz w:val="24"/>
          <w:szCs w:val="24"/>
        </w:rPr>
        <w:t>(1)</w:t>
      </w:r>
      <w:r w:rsidRPr="00C17367">
        <w:rPr>
          <w:rFonts w:cs="Simplified Arabic"/>
          <w:sz w:val="24"/>
          <w:szCs w:val="24"/>
        </w:rPr>
        <w:t xml:space="preserve"> </w:t>
      </w:r>
      <w:r w:rsidRPr="00C17367">
        <w:rPr>
          <w:rFonts w:cs="Simplified Arabic" w:hint="cs"/>
          <w:sz w:val="24"/>
          <w:szCs w:val="24"/>
          <w:rtl/>
          <w:lang w:bidi="ar-DZ"/>
        </w:rPr>
        <w:t xml:space="preserve"> فضيل العيش . شرح قانون الإجراءات المدنية و الإدارية الجديد. </w:t>
      </w:r>
      <w:proofErr w:type="gramStart"/>
      <w:r w:rsidRPr="00C17367">
        <w:rPr>
          <w:rFonts w:cs="Simplified Arabic" w:hint="cs"/>
          <w:sz w:val="24"/>
          <w:szCs w:val="24"/>
          <w:rtl/>
          <w:lang w:bidi="ar-DZ"/>
        </w:rPr>
        <w:t>منشورات</w:t>
      </w:r>
      <w:proofErr w:type="gramEnd"/>
      <w:r w:rsidRPr="00C17367">
        <w:rPr>
          <w:rFonts w:cs="Simplified Arabic" w:hint="cs"/>
          <w:sz w:val="24"/>
          <w:szCs w:val="24"/>
          <w:rtl/>
          <w:lang w:bidi="ar-DZ"/>
        </w:rPr>
        <w:t xml:space="preserve"> أمين. 2009. ص 15.</w:t>
      </w:r>
    </w:p>
  </w:footnote>
  <w:footnote w:id="4">
    <w:p w:rsidR="00D06D8C" w:rsidRDefault="00D06D8C" w:rsidP="00D06D8C">
      <w:pPr>
        <w:pStyle w:val="Notedebasdepage"/>
        <w:bidi/>
        <w:rPr>
          <w:rFonts w:cs="Simplified Arabic" w:hint="cs"/>
          <w:sz w:val="24"/>
          <w:szCs w:val="24"/>
          <w:rtl/>
          <w:lang w:bidi="ar-DZ"/>
        </w:rPr>
      </w:pPr>
      <w:r w:rsidRPr="00B94033">
        <w:rPr>
          <w:rStyle w:val="Appelnotedebasdep"/>
          <w:rFonts w:cs="Simplified Arabic"/>
          <w:sz w:val="24"/>
          <w:szCs w:val="24"/>
        </w:rPr>
        <w:t>(2)</w:t>
      </w:r>
      <w:r w:rsidRPr="00B94033">
        <w:rPr>
          <w:rFonts w:cs="Simplified Arabic"/>
          <w:sz w:val="24"/>
          <w:szCs w:val="24"/>
        </w:rPr>
        <w:t xml:space="preserve"> </w:t>
      </w:r>
      <w:r w:rsidRPr="00B94033">
        <w:rPr>
          <w:rFonts w:cs="Simplified Arabic" w:hint="cs"/>
          <w:sz w:val="24"/>
          <w:szCs w:val="24"/>
          <w:rtl/>
        </w:rPr>
        <w:t xml:space="preserve"> </w:t>
      </w:r>
      <w:r w:rsidRPr="00B94033">
        <w:rPr>
          <w:rFonts w:cs="Simplified Arabic" w:hint="cs"/>
          <w:sz w:val="24"/>
          <w:szCs w:val="24"/>
          <w:rtl/>
          <w:lang w:bidi="ar-DZ"/>
        </w:rPr>
        <w:t xml:space="preserve">بربارة عبد الرحمن. شرح قانون الإجراءات المدنية والإدارية . منشورات </w:t>
      </w:r>
      <w:proofErr w:type="gramStart"/>
      <w:r w:rsidRPr="00B94033">
        <w:rPr>
          <w:rFonts w:cs="Simplified Arabic" w:hint="cs"/>
          <w:sz w:val="24"/>
          <w:szCs w:val="24"/>
          <w:rtl/>
          <w:lang w:bidi="ar-DZ"/>
        </w:rPr>
        <w:t>بغدادي .</w:t>
      </w:r>
      <w:proofErr w:type="gramEnd"/>
      <w:r w:rsidRPr="00B94033">
        <w:rPr>
          <w:rFonts w:cs="Simplified Arabic" w:hint="cs"/>
          <w:sz w:val="24"/>
          <w:szCs w:val="24"/>
          <w:rtl/>
          <w:lang w:bidi="ar-DZ"/>
        </w:rPr>
        <w:t xml:space="preserve"> طبعة أولى 2009. ص 22.</w:t>
      </w:r>
    </w:p>
    <w:p w:rsidR="00D06D8C" w:rsidRDefault="00D06D8C" w:rsidP="00D06D8C">
      <w:pPr>
        <w:pStyle w:val="Notedebasdepage"/>
        <w:bidi/>
        <w:rPr>
          <w:rFonts w:cs="Simplified Arabic" w:hint="cs"/>
          <w:sz w:val="24"/>
          <w:szCs w:val="24"/>
          <w:rtl/>
          <w:lang w:bidi="ar-DZ"/>
        </w:rPr>
      </w:pPr>
    </w:p>
    <w:p w:rsidR="00D06D8C" w:rsidRPr="00B94033" w:rsidRDefault="00D06D8C" w:rsidP="00D06D8C">
      <w:pPr>
        <w:pStyle w:val="Notedebasdepage"/>
        <w:bidi/>
        <w:rPr>
          <w:rFonts w:hint="cs"/>
          <w:sz w:val="24"/>
          <w:szCs w:val="24"/>
          <w:rtl/>
          <w:lang w:bidi="ar-DZ"/>
        </w:rPr>
      </w:pPr>
    </w:p>
  </w:footnote>
  <w:footnote w:id="5">
    <w:p w:rsidR="00D06D8C" w:rsidRPr="00633BF2" w:rsidRDefault="00D06D8C" w:rsidP="00D06D8C">
      <w:pPr>
        <w:pStyle w:val="Notedebasdepage"/>
        <w:bidi/>
        <w:rPr>
          <w:rFonts w:cs="Simplified Arabic" w:hint="cs"/>
          <w:sz w:val="24"/>
          <w:szCs w:val="24"/>
          <w:rtl/>
          <w:lang w:bidi="ar-DZ"/>
        </w:rPr>
      </w:pPr>
      <w:r w:rsidRPr="00633BF2">
        <w:rPr>
          <w:rStyle w:val="Appelnotedebasdep"/>
          <w:rFonts w:cs="Simplified Arabic"/>
          <w:sz w:val="24"/>
          <w:szCs w:val="24"/>
        </w:rPr>
        <w:t>(1)</w:t>
      </w:r>
      <w:r w:rsidRPr="00633BF2">
        <w:rPr>
          <w:rFonts w:cs="Simplified Arabic"/>
          <w:sz w:val="24"/>
          <w:szCs w:val="24"/>
        </w:rPr>
        <w:t xml:space="preserve"> </w:t>
      </w:r>
      <w:r w:rsidRPr="00633BF2">
        <w:rPr>
          <w:rFonts w:cs="Simplified Arabic" w:hint="cs"/>
          <w:sz w:val="24"/>
          <w:szCs w:val="24"/>
          <w:rtl/>
        </w:rPr>
        <w:t xml:space="preserve"> بربارة عبد الرحمن . </w:t>
      </w:r>
      <w:proofErr w:type="gramStart"/>
      <w:r w:rsidRPr="00633BF2">
        <w:rPr>
          <w:rFonts w:cs="Simplified Arabic" w:hint="cs"/>
          <w:sz w:val="24"/>
          <w:szCs w:val="24"/>
          <w:rtl/>
        </w:rPr>
        <w:t>المرجع</w:t>
      </w:r>
      <w:proofErr w:type="gramEnd"/>
      <w:r w:rsidRPr="00633BF2">
        <w:rPr>
          <w:rFonts w:cs="Simplified Arabic" w:hint="cs"/>
          <w:sz w:val="24"/>
          <w:szCs w:val="24"/>
          <w:rtl/>
        </w:rPr>
        <w:t xml:space="preserve"> السابق. ص 22.</w:t>
      </w:r>
    </w:p>
  </w:footnote>
  <w:footnote w:id="6">
    <w:p w:rsidR="00D06D8C" w:rsidRPr="008F1B07" w:rsidRDefault="00D06D8C" w:rsidP="00D06D8C">
      <w:pPr>
        <w:pStyle w:val="Notedebasdepage"/>
        <w:bidi/>
        <w:rPr>
          <w:rFonts w:cs="Simplified Arabic" w:hint="cs"/>
          <w:sz w:val="24"/>
          <w:szCs w:val="24"/>
          <w:rtl/>
          <w:lang w:bidi="ar-DZ"/>
        </w:rPr>
      </w:pPr>
      <w:r w:rsidRPr="008F1B07">
        <w:rPr>
          <w:rStyle w:val="Appelnotedebasdep"/>
          <w:rFonts w:cs="Simplified Arabic"/>
          <w:sz w:val="24"/>
          <w:szCs w:val="24"/>
        </w:rPr>
        <w:t>(2)</w:t>
      </w:r>
      <w:r w:rsidRPr="008F1B07">
        <w:rPr>
          <w:rFonts w:cs="Simplified Arabic"/>
          <w:sz w:val="24"/>
          <w:szCs w:val="24"/>
        </w:rPr>
        <w:t xml:space="preserve"> </w:t>
      </w:r>
      <w:r w:rsidRPr="008F1B07">
        <w:rPr>
          <w:rFonts w:cs="Simplified Arabic" w:hint="cs"/>
          <w:sz w:val="24"/>
          <w:szCs w:val="24"/>
          <w:rtl/>
          <w:lang w:bidi="ar-DZ"/>
        </w:rPr>
        <w:t xml:space="preserve"> </w:t>
      </w:r>
      <w:r w:rsidRPr="008F1B07">
        <w:rPr>
          <w:rFonts w:cs="Simplified Arabic" w:hint="cs"/>
          <w:sz w:val="24"/>
          <w:szCs w:val="24"/>
          <w:rtl/>
        </w:rPr>
        <w:t xml:space="preserve">نبيل إسماعيل </w:t>
      </w:r>
      <w:proofErr w:type="gramStart"/>
      <w:r w:rsidRPr="008F1B07">
        <w:rPr>
          <w:rFonts w:cs="Simplified Arabic" w:hint="cs"/>
          <w:sz w:val="24"/>
          <w:szCs w:val="24"/>
          <w:rtl/>
        </w:rPr>
        <w:t>عمر .</w:t>
      </w:r>
      <w:proofErr w:type="gramEnd"/>
      <w:r w:rsidRPr="008F1B07">
        <w:rPr>
          <w:rFonts w:cs="Simplified Arabic" w:hint="cs"/>
          <w:sz w:val="24"/>
          <w:szCs w:val="24"/>
          <w:rtl/>
        </w:rPr>
        <w:t xml:space="preserve"> قانون </w:t>
      </w:r>
      <w:proofErr w:type="gramStart"/>
      <w:r w:rsidRPr="008F1B07">
        <w:rPr>
          <w:rFonts w:cs="Simplified Arabic" w:hint="cs"/>
          <w:sz w:val="24"/>
          <w:szCs w:val="24"/>
          <w:rtl/>
        </w:rPr>
        <w:t>أصول المحا</w:t>
      </w:r>
      <w:proofErr w:type="gramEnd"/>
      <w:r w:rsidRPr="008F1B07">
        <w:rPr>
          <w:rFonts w:cs="Simplified Arabic" w:hint="cs"/>
          <w:sz w:val="24"/>
          <w:szCs w:val="24"/>
          <w:rtl/>
        </w:rPr>
        <w:t>كمات المدنية . الدار الجامعية ، بيروت ، ط 1 ، 1996 ، ص 26 و 27.</w:t>
      </w:r>
    </w:p>
  </w:footnote>
  <w:footnote w:id="7">
    <w:p w:rsidR="00D06D8C" w:rsidRDefault="00D06D8C" w:rsidP="00D06D8C">
      <w:pPr>
        <w:pStyle w:val="Notedebasdepage"/>
        <w:tabs>
          <w:tab w:val="left" w:pos="3945"/>
        </w:tabs>
        <w:bidi/>
        <w:rPr>
          <w:rFonts w:cs="Simplified Arabic" w:hint="cs"/>
          <w:sz w:val="24"/>
          <w:szCs w:val="24"/>
          <w:rtl/>
        </w:rPr>
      </w:pPr>
      <w:r w:rsidRPr="00E13DF5">
        <w:rPr>
          <w:rStyle w:val="Appelnotedebasdep"/>
          <w:rFonts w:cs="Simplified Arabic"/>
          <w:sz w:val="24"/>
          <w:szCs w:val="24"/>
        </w:rPr>
        <w:t>(3)</w:t>
      </w:r>
      <w:r w:rsidRPr="00E13DF5">
        <w:rPr>
          <w:rFonts w:cs="Simplified Arabic"/>
          <w:sz w:val="24"/>
          <w:szCs w:val="24"/>
        </w:rPr>
        <w:t xml:space="preserve"> </w:t>
      </w:r>
      <w:r w:rsidRPr="00E13DF5">
        <w:rPr>
          <w:rFonts w:cs="Simplified Arabic" w:hint="cs"/>
          <w:sz w:val="24"/>
          <w:szCs w:val="24"/>
          <w:rtl/>
        </w:rPr>
        <w:t xml:space="preserve"> بربارة  عبد الرحمن . </w:t>
      </w:r>
      <w:proofErr w:type="gramStart"/>
      <w:r w:rsidRPr="00E13DF5">
        <w:rPr>
          <w:rFonts w:cs="Simplified Arabic" w:hint="cs"/>
          <w:sz w:val="24"/>
          <w:szCs w:val="24"/>
          <w:rtl/>
        </w:rPr>
        <w:t>المرجع</w:t>
      </w:r>
      <w:proofErr w:type="gramEnd"/>
      <w:r w:rsidRPr="00E13DF5">
        <w:rPr>
          <w:rFonts w:cs="Simplified Arabic" w:hint="cs"/>
          <w:sz w:val="24"/>
          <w:szCs w:val="24"/>
          <w:rtl/>
        </w:rPr>
        <w:t xml:space="preserve"> السابق. ص 26.</w:t>
      </w:r>
      <w:r w:rsidRPr="00E13DF5">
        <w:rPr>
          <w:rFonts w:cs="Simplified Arabic"/>
          <w:sz w:val="24"/>
          <w:szCs w:val="24"/>
        </w:rPr>
        <w:tab/>
      </w:r>
    </w:p>
    <w:p w:rsidR="00D06D8C" w:rsidRPr="00E13DF5" w:rsidRDefault="00D06D8C" w:rsidP="00D06D8C">
      <w:pPr>
        <w:pStyle w:val="Notedebasdepage"/>
        <w:tabs>
          <w:tab w:val="left" w:pos="3945"/>
        </w:tabs>
        <w:bidi/>
        <w:rPr>
          <w:rFonts w:cs="Simplified Arabic" w:hint="cs"/>
          <w:sz w:val="24"/>
          <w:szCs w:val="24"/>
          <w:rtl/>
          <w:lang w:bidi="ar-DZ"/>
        </w:rPr>
      </w:pPr>
    </w:p>
  </w:footnote>
  <w:footnote w:id="8">
    <w:p w:rsidR="00D06D8C" w:rsidRPr="00A82CC6" w:rsidRDefault="00D06D8C" w:rsidP="00D06D8C">
      <w:pPr>
        <w:pStyle w:val="Notedebasdepage"/>
        <w:bidi/>
        <w:rPr>
          <w:rFonts w:cs="Simplified Arabic" w:hint="cs"/>
          <w:sz w:val="24"/>
          <w:szCs w:val="24"/>
          <w:rtl/>
          <w:lang w:bidi="ar-DZ"/>
        </w:rPr>
      </w:pPr>
      <w:r w:rsidRPr="00A82CC6">
        <w:rPr>
          <w:rStyle w:val="Appelnotedebasdep"/>
          <w:rFonts w:cs="Simplified Arabic"/>
          <w:sz w:val="24"/>
          <w:szCs w:val="24"/>
        </w:rPr>
        <w:t>(1)</w:t>
      </w:r>
      <w:r w:rsidRPr="00A82CC6">
        <w:rPr>
          <w:rFonts w:cs="Simplified Arabic"/>
          <w:sz w:val="24"/>
          <w:szCs w:val="24"/>
        </w:rPr>
        <w:t xml:space="preserve"> </w:t>
      </w:r>
      <w:r w:rsidRPr="00A82CC6">
        <w:rPr>
          <w:rFonts w:cs="Simplified Arabic" w:hint="cs"/>
          <w:sz w:val="24"/>
          <w:szCs w:val="24"/>
          <w:rtl/>
          <w:lang w:bidi="ar-DZ"/>
        </w:rPr>
        <w:t xml:space="preserve"> </w:t>
      </w:r>
      <w:r w:rsidRPr="00A82CC6">
        <w:rPr>
          <w:rFonts w:cs="Simplified Arabic" w:hint="cs"/>
          <w:sz w:val="24"/>
          <w:szCs w:val="24"/>
          <w:rtl/>
        </w:rPr>
        <w:t>روان محمد الصالح ، دروس في قانون الإجراءات المدنية ، جامعة العربي بن مهيدي ، أم البواقي ، 2008 .</w:t>
      </w:r>
    </w:p>
  </w:footnote>
  <w:footnote w:id="9">
    <w:p w:rsidR="00D06D8C" w:rsidRPr="00933014" w:rsidRDefault="00D06D8C" w:rsidP="00D06D8C">
      <w:pPr>
        <w:pStyle w:val="Notedebasdepage"/>
        <w:bidi/>
        <w:rPr>
          <w:rFonts w:cs="Simplified Arabic" w:hint="cs"/>
          <w:sz w:val="24"/>
          <w:szCs w:val="24"/>
          <w:rtl/>
          <w:lang w:bidi="ar-DZ"/>
        </w:rPr>
      </w:pPr>
      <w:r w:rsidRPr="00933014">
        <w:rPr>
          <w:rStyle w:val="Appelnotedebasdep"/>
          <w:rFonts w:cs="Simplified Arabic"/>
          <w:sz w:val="24"/>
          <w:szCs w:val="24"/>
        </w:rPr>
        <w:t>(2)</w:t>
      </w:r>
      <w:r w:rsidRPr="00933014">
        <w:rPr>
          <w:rFonts w:cs="Simplified Arabic"/>
          <w:sz w:val="24"/>
          <w:szCs w:val="24"/>
        </w:rPr>
        <w:t xml:space="preserve"> </w:t>
      </w:r>
      <w:r w:rsidRPr="00933014">
        <w:rPr>
          <w:rFonts w:cs="Simplified Arabic" w:hint="cs"/>
          <w:sz w:val="24"/>
          <w:szCs w:val="24"/>
          <w:rtl/>
          <w:lang w:bidi="ar-DZ"/>
        </w:rPr>
        <w:t xml:space="preserve"> </w:t>
      </w:r>
      <w:r w:rsidRPr="00933014">
        <w:rPr>
          <w:rFonts w:cs="Simplified Arabic" w:hint="cs"/>
          <w:sz w:val="24"/>
          <w:szCs w:val="24"/>
          <w:rtl/>
        </w:rPr>
        <w:t xml:space="preserve">الجريدة الرسمية </w:t>
      </w:r>
      <w:proofErr w:type="spellStart"/>
      <w:r w:rsidRPr="00933014">
        <w:rPr>
          <w:rFonts w:cs="Simplified Arabic" w:hint="cs"/>
          <w:sz w:val="24"/>
          <w:szCs w:val="24"/>
          <w:rtl/>
        </w:rPr>
        <w:t>للمناقشات.</w:t>
      </w:r>
      <w:proofErr w:type="gramStart"/>
      <w:r w:rsidRPr="00933014">
        <w:rPr>
          <w:rFonts w:cs="Simplified Arabic" w:hint="cs"/>
          <w:sz w:val="24"/>
          <w:szCs w:val="24"/>
          <w:rtl/>
        </w:rPr>
        <w:t>المجلس</w:t>
      </w:r>
      <w:proofErr w:type="spellEnd"/>
      <w:proofErr w:type="gramEnd"/>
      <w:r w:rsidRPr="00933014">
        <w:rPr>
          <w:rFonts w:cs="Simplified Arabic" w:hint="cs"/>
          <w:sz w:val="24"/>
          <w:szCs w:val="24"/>
          <w:rtl/>
        </w:rPr>
        <w:t xml:space="preserve"> الشعبي الوطني. السنة الأولى </w:t>
      </w:r>
      <w:proofErr w:type="gramStart"/>
      <w:r w:rsidRPr="00933014">
        <w:rPr>
          <w:rFonts w:cs="Simplified Arabic" w:hint="cs"/>
          <w:sz w:val="24"/>
          <w:szCs w:val="24"/>
          <w:rtl/>
        </w:rPr>
        <w:t>رقم</w:t>
      </w:r>
      <w:proofErr w:type="gramEnd"/>
      <w:r w:rsidRPr="00933014">
        <w:rPr>
          <w:rFonts w:cs="Simplified Arabic" w:hint="cs"/>
          <w:sz w:val="24"/>
          <w:szCs w:val="24"/>
          <w:rtl/>
        </w:rPr>
        <w:t xml:space="preserve"> 47. ص 5.</w:t>
      </w:r>
    </w:p>
  </w:footnote>
  <w:footnote w:id="10">
    <w:p w:rsidR="00D06D8C" w:rsidRPr="00933014" w:rsidRDefault="00D06D8C" w:rsidP="00D06D8C">
      <w:pPr>
        <w:pStyle w:val="Notedebasdepage"/>
        <w:bidi/>
        <w:rPr>
          <w:rFonts w:cs="Simplified Arabic" w:hint="cs"/>
          <w:sz w:val="24"/>
          <w:szCs w:val="24"/>
          <w:rtl/>
          <w:lang w:bidi="ar-DZ"/>
        </w:rPr>
      </w:pPr>
      <w:r w:rsidRPr="00933014">
        <w:rPr>
          <w:rStyle w:val="Appelnotedebasdep"/>
          <w:rFonts w:cs="Simplified Arabic"/>
          <w:sz w:val="24"/>
          <w:szCs w:val="24"/>
        </w:rPr>
        <w:t>(3)</w:t>
      </w:r>
      <w:r w:rsidRPr="00933014">
        <w:rPr>
          <w:rFonts w:cs="Simplified Arabic"/>
          <w:sz w:val="24"/>
          <w:szCs w:val="24"/>
        </w:rPr>
        <w:t xml:space="preserve"> </w:t>
      </w:r>
      <w:r w:rsidRPr="00933014">
        <w:rPr>
          <w:rFonts w:cs="Simplified Arabic" w:hint="cs"/>
          <w:sz w:val="24"/>
          <w:szCs w:val="24"/>
          <w:rtl/>
          <w:lang w:bidi="ar-DZ"/>
        </w:rPr>
        <w:t xml:space="preserve"> </w:t>
      </w:r>
      <w:r w:rsidRPr="00933014">
        <w:rPr>
          <w:rFonts w:cs="Simplified Arabic" w:hint="cs"/>
          <w:sz w:val="24"/>
          <w:szCs w:val="24"/>
          <w:rtl/>
        </w:rPr>
        <w:t xml:space="preserve">نبيل إسماعيل </w:t>
      </w:r>
      <w:proofErr w:type="gramStart"/>
      <w:r w:rsidRPr="00933014">
        <w:rPr>
          <w:rFonts w:cs="Simplified Arabic" w:hint="cs"/>
          <w:sz w:val="24"/>
          <w:szCs w:val="24"/>
          <w:rtl/>
        </w:rPr>
        <w:t>عمر .</w:t>
      </w:r>
      <w:proofErr w:type="gramEnd"/>
      <w:r w:rsidRPr="00933014">
        <w:rPr>
          <w:rFonts w:cs="Simplified Arabic" w:hint="cs"/>
          <w:sz w:val="24"/>
          <w:szCs w:val="24"/>
          <w:rtl/>
        </w:rPr>
        <w:t xml:space="preserve"> المرجع </w:t>
      </w:r>
      <w:proofErr w:type="gramStart"/>
      <w:r w:rsidRPr="00933014">
        <w:rPr>
          <w:rFonts w:cs="Simplified Arabic" w:hint="cs"/>
          <w:sz w:val="24"/>
          <w:szCs w:val="24"/>
          <w:rtl/>
        </w:rPr>
        <w:t>السابق ،</w:t>
      </w:r>
      <w:proofErr w:type="gramEnd"/>
      <w:r w:rsidRPr="00933014">
        <w:rPr>
          <w:rFonts w:cs="Simplified Arabic" w:hint="cs"/>
          <w:sz w:val="24"/>
          <w:szCs w:val="24"/>
          <w:rtl/>
        </w:rPr>
        <w:t xml:space="preserve"> ص 28، 29.</w:t>
      </w:r>
    </w:p>
  </w:footnote>
  <w:footnote w:id="11">
    <w:p w:rsidR="00D06D8C" w:rsidRDefault="00D06D8C" w:rsidP="00D06D8C">
      <w:pPr>
        <w:pStyle w:val="Notedebasdepage"/>
        <w:bidi/>
        <w:rPr>
          <w:rFonts w:cs="Simplified Arabic" w:hint="cs"/>
          <w:sz w:val="24"/>
          <w:szCs w:val="24"/>
          <w:rtl/>
        </w:rPr>
      </w:pPr>
      <w:r w:rsidRPr="0062216F">
        <w:rPr>
          <w:rStyle w:val="Appelnotedebasdep"/>
          <w:rFonts w:cs="Simplified Arabic"/>
          <w:sz w:val="24"/>
          <w:szCs w:val="24"/>
        </w:rPr>
        <w:t>(4)</w:t>
      </w:r>
      <w:r w:rsidRPr="0062216F">
        <w:rPr>
          <w:rFonts w:cs="Simplified Arabic"/>
          <w:sz w:val="24"/>
          <w:szCs w:val="24"/>
        </w:rPr>
        <w:t xml:space="preserve"> </w:t>
      </w:r>
      <w:r w:rsidRPr="0062216F">
        <w:rPr>
          <w:rFonts w:cs="Simplified Arabic" w:hint="cs"/>
          <w:sz w:val="24"/>
          <w:szCs w:val="24"/>
          <w:rtl/>
          <w:lang w:bidi="ar-DZ"/>
        </w:rPr>
        <w:t xml:space="preserve"> </w:t>
      </w:r>
      <w:r w:rsidRPr="0062216F">
        <w:rPr>
          <w:rFonts w:cs="Simplified Arabic" w:hint="cs"/>
          <w:sz w:val="24"/>
          <w:szCs w:val="24"/>
          <w:rtl/>
        </w:rPr>
        <w:t xml:space="preserve">الجريدة الرسمية </w:t>
      </w:r>
      <w:proofErr w:type="spellStart"/>
      <w:r w:rsidRPr="0062216F">
        <w:rPr>
          <w:rFonts w:cs="Simplified Arabic" w:hint="cs"/>
          <w:sz w:val="24"/>
          <w:szCs w:val="24"/>
          <w:rtl/>
        </w:rPr>
        <w:t>للمناقشات.</w:t>
      </w:r>
      <w:proofErr w:type="gramStart"/>
      <w:r w:rsidRPr="0062216F">
        <w:rPr>
          <w:rFonts w:cs="Simplified Arabic" w:hint="cs"/>
          <w:sz w:val="24"/>
          <w:szCs w:val="24"/>
          <w:rtl/>
        </w:rPr>
        <w:t>المجلس</w:t>
      </w:r>
      <w:proofErr w:type="spellEnd"/>
      <w:proofErr w:type="gramEnd"/>
      <w:r w:rsidRPr="0062216F">
        <w:rPr>
          <w:rFonts w:cs="Simplified Arabic" w:hint="cs"/>
          <w:sz w:val="24"/>
          <w:szCs w:val="24"/>
          <w:rtl/>
        </w:rPr>
        <w:t xml:space="preserve"> الشعبي الوطني. السنة الأولى </w:t>
      </w:r>
      <w:proofErr w:type="gramStart"/>
      <w:r w:rsidRPr="0062216F">
        <w:rPr>
          <w:rFonts w:cs="Simplified Arabic" w:hint="cs"/>
          <w:sz w:val="24"/>
          <w:szCs w:val="24"/>
          <w:rtl/>
        </w:rPr>
        <w:t>رقم</w:t>
      </w:r>
      <w:proofErr w:type="gramEnd"/>
      <w:r w:rsidRPr="0062216F">
        <w:rPr>
          <w:rFonts w:cs="Simplified Arabic" w:hint="cs"/>
          <w:sz w:val="24"/>
          <w:szCs w:val="24"/>
          <w:rtl/>
        </w:rPr>
        <w:t xml:space="preserve"> 47. ص 5.</w:t>
      </w:r>
    </w:p>
    <w:p w:rsidR="00D06D8C" w:rsidRDefault="00D06D8C" w:rsidP="00D06D8C">
      <w:pPr>
        <w:pStyle w:val="Notedebasdepage"/>
        <w:bidi/>
        <w:rPr>
          <w:rFonts w:cs="Simplified Arabic" w:hint="cs"/>
          <w:sz w:val="24"/>
          <w:szCs w:val="24"/>
          <w:rtl/>
        </w:rPr>
      </w:pPr>
    </w:p>
    <w:p w:rsidR="00D06D8C" w:rsidRPr="0062216F" w:rsidRDefault="00D06D8C" w:rsidP="00D06D8C">
      <w:pPr>
        <w:pStyle w:val="Notedebasdepage"/>
        <w:bidi/>
        <w:rPr>
          <w:rFonts w:cs="Simplified Arabic" w:hint="cs"/>
          <w:sz w:val="24"/>
          <w:szCs w:val="24"/>
          <w:rtl/>
          <w:lang w:bidi="ar-DZ"/>
        </w:rPr>
      </w:pPr>
    </w:p>
  </w:footnote>
  <w:footnote w:id="12">
    <w:p w:rsidR="00D06D8C" w:rsidRPr="0062216F" w:rsidRDefault="00D06D8C" w:rsidP="00D06D8C">
      <w:pPr>
        <w:pStyle w:val="Notedebasdepage"/>
        <w:bidi/>
        <w:rPr>
          <w:rFonts w:cs="Simplified Arabic" w:hint="cs"/>
          <w:sz w:val="24"/>
          <w:szCs w:val="24"/>
          <w:rtl/>
          <w:lang w:bidi="ar-DZ"/>
        </w:rPr>
      </w:pPr>
      <w:r w:rsidRPr="0062216F">
        <w:rPr>
          <w:rStyle w:val="Appelnotedebasdep"/>
          <w:rFonts w:cs="Simplified Arabic"/>
          <w:sz w:val="24"/>
          <w:szCs w:val="24"/>
        </w:rPr>
        <w:t>(1)</w:t>
      </w:r>
      <w:r w:rsidRPr="0062216F">
        <w:rPr>
          <w:rFonts w:cs="Simplified Arabic"/>
          <w:sz w:val="24"/>
          <w:szCs w:val="24"/>
        </w:rPr>
        <w:t xml:space="preserve"> </w:t>
      </w:r>
      <w:r w:rsidRPr="0062216F">
        <w:rPr>
          <w:rFonts w:cs="Simplified Arabic" w:hint="cs"/>
          <w:sz w:val="24"/>
          <w:szCs w:val="24"/>
          <w:rtl/>
          <w:lang w:bidi="ar-DZ"/>
        </w:rPr>
        <w:t xml:space="preserve"> بربارة عبد الرحمن . </w:t>
      </w:r>
      <w:proofErr w:type="gramStart"/>
      <w:r w:rsidRPr="0062216F">
        <w:rPr>
          <w:rFonts w:cs="Simplified Arabic" w:hint="cs"/>
          <w:sz w:val="24"/>
          <w:szCs w:val="24"/>
          <w:rtl/>
          <w:lang w:bidi="ar-DZ"/>
        </w:rPr>
        <w:t>المرجع</w:t>
      </w:r>
      <w:proofErr w:type="gramEnd"/>
      <w:r w:rsidRPr="0062216F">
        <w:rPr>
          <w:rFonts w:cs="Simplified Arabic" w:hint="cs"/>
          <w:sz w:val="24"/>
          <w:szCs w:val="24"/>
          <w:rtl/>
          <w:lang w:bidi="ar-DZ"/>
        </w:rPr>
        <w:t xml:space="preserve"> السابق. ص 22.</w:t>
      </w:r>
    </w:p>
  </w:footnote>
  <w:footnote w:id="13">
    <w:p w:rsidR="00D06D8C" w:rsidRDefault="00D06D8C" w:rsidP="00D06D8C">
      <w:pPr>
        <w:pStyle w:val="Notedebasdepage"/>
        <w:bidi/>
        <w:rPr>
          <w:rFonts w:cs="Simplified Arabic" w:hint="cs"/>
          <w:sz w:val="24"/>
          <w:szCs w:val="24"/>
          <w:rtl/>
        </w:rPr>
      </w:pPr>
      <w:r w:rsidRPr="00256D54">
        <w:rPr>
          <w:rStyle w:val="Appelnotedebasdep"/>
          <w:rFonts w:cs="Simplified Arabic"/>
          <w:sz w:val="24"/>
          <w:szCs w:val="24"/>
        </w:rPr>
        <w:t>(2)</w:t>
      </w:r>
      <w:r w:rsidRPr="00256D54">
        <w:rPr>
          <w:rFonts w:cs="Simplified Arabic"/>
          <w:sz w:val="24"/>
          <w:szCs w:val="24"/>
        </w:rPr>
        <w:t xml:space="preserve"> </w:t>
      </w:r>
      <w:r w:rsidRPr="00256D54">
        <w:rPr>
          <w:rFonts w:cs="Simplified Arabic" w:hint="cs"/>
          <w:sz w:val="24"/>
          <w:szCs w:val="24"/>
          <w:rtl/>
          <w:lang w:bidi="ar-DZ"/>
        </w:rPr>
        <w:t xml:space="preserve"> </w:t>
      </w:r>
      <w:r w:rsidRPr="00256D54">
        <w:rPr>
          <w:rFonts w:cs="Simplified Arabic" w:hint="cs"/>
          <w:sz w:val="24"/>
          <w:szCs w:val="24"/>
          <w:rtl/>
        </w:rPr>
        <w:t xml:space="preserve">الجريدة الرسمية </w:t>
      </w:r>
      <w:proofErr w:type="spellStart"/>
      <w:r w:rsidRPr="00256D54">
        <w:rPr>
          <w:rFonts w:cs="Simplified Arabic" w:hint="cs"/>
          <w:sz w:val="24"/>
          <w:szCs w:val="24"/>
          <w:rtl/>
        </w:rPr>
        <w:t>للمناقشات.</w:t>
      </w:r>
      <w:proofErr w:type="gramStart"/>
      <w:r w:rsidRPr="00256D54">
        <w:rPr>
          <w:rFonts w:cs="Simplified Arabic" w:hint="cs"/>
          <w:sz w:val="24"/>
          <w:szCs w:val="24"/>
          <w:rtl/>
        </w:rPr>
        <w:t>المجلس</w:t>
      </w:r>
      <w:proofErr w:type="spellEnd"/>
      <w:proofErr w:type="gramEnd"/>
      <w:r w:rsidRPr="00256D54">
        <w:rPr>
          <w:rFonts w:cs="Simplified Arabic" w:hint="cs"/>
          <w:sz w:val="24"/>
          <w:szCs w:val="24"/>
          <w:rtl/>
        </w:rPr>
        <w:t xml:space="preserve"> الشعبي الوطني. السنة الأولى </w:t>
      </w:r>
      <w:proofErr w:type="gramStart"/>
      <w:r w:rsidRPr="00256D54">
        <w:rPr>
          <w:rFonts w:cs="Simplified Arabic" w:hint="cs"/>
          <w:sz w:val="24"/>
          <w:szCs w:val="24"/>
          <w:rtl/>
        </w:rPr>
        <w:t>رقم</w:t>
      </w:r>
      <w:proofErr w:type="gramEnd"/>
      <w:r w:rsidRPr="00256D54">
        <w:rPr>
          <w:rFonts w:cs="Simplified Arabic" w:hint="cs"/>
          <w:sz w:val="24"/>
          <w:szCs w:val="24"/>
          <w:rtl/>
        </w:rPr>
        <w:t xml:space="preserve"> 47. ص 5.</w:t>
      </w:r>
    </w:p>
    <w:p w:rsidR="00D06D8C" w:rsidRDefault="00D06D8C" w:rsidP="00D06D8C">
      <w:pPr>
        <w:pStyle w:val="Notedebasdepage"/>
        <w:bidi/>
        <w:rPr>
          <w:rFonts w:cs="Simplified Arabic" w:hint="cs"/>
          <w:sz w:val="24"/>
          <w:szCs w:val="24"/>
          <w:rtl/>
        </w:rPr>
      </w:pPr>
    </w:p>
    <w:p w:rsidR="00D06D8C" w:rsidRPr="00256D54" w:rsidRDefault="00D06D8C" w:rsidP="00D06D8C">
      <w:pPr>
        <w:pStyle w:val="Notedebasdepage"/>
        <w:bidi/>
        <w:rPr>
          <w:rFonts w:cs="Simplified Arabic" w:hint="cs"/>
          <w:sz w:val="24"/>
          <w:szCs w:val="24"/>
          <w:rtl/>
          <w:lang w:bidi="ar-DZ"/>
        </w:rPr>
      </w:pPr>
    </w:p>
  </w:footnote>
  <w:footnote w:id="14">
    <w:p w:rsidR="00D06D8C" w:rsidRDefault="00D06D8C" w:rsidP="00D06D8C">
      <w:pPr>
        <w:pStyle w:val="Notedebasdepage"/>
        <w:bidi/>
        <w:rPr>
          <w:rFonts w:cs="Simplified Arabic" w:hint="cs"/>
          <w:sz w:val="24"/>
          <w:szCs w:val="24"/>
          <w:rtl/>
        </w:rPr>
      </w:pPr>
      <w:r w:rsidRPr="00E112F5">
        <w:rPr>
          <w:rStyle w:val="Appelnotedebasdep"/>
          <w:rFonts w:cs="Simplified Arabic"/>
          <w:sz w:val="24"/>
          <w:szCs w:val="24"/>
        </w:rPr>
        <w:t>(1)</w:t>
      </w:r>
      <w:r w:rsidRPr="00E112F5">
        <w:rPr>
          <w:rFonts w:cs="Simplified Arabic"/>
          <w:sz w:val="24"/>
          <w:szCs w:val="24"/>
        </w:rPr>
        <w:t xml:space="preserve"> </w:t>
      </w:r>
      <w:r w:rsidRPr="00E112F5">
        <w:rPr>
          <w:rFonts w:cs="Simplified Arabic" w:hint="cs"/>
          <w:sz w:val="24"/>
          <w:szCs w:val="24"/>
          <w:rtl/>
          <w:lang w:bidi="ar-DZ"/>
        </w:rPr>
        <w:t xml:space="preserve"> </w:t>
      </w:r>
      <w:r w:rsidRPr="00E112F5">
        <w:rPr>
          <w:rFonts w:cs="Simplified Arabic" w:hint="cs"/>
          <w:sz w:val="24"/>
          <w:szCs w:val="24"/>
          <w:rtl/>
        </w:rPr>
        <w:t xml:space="preserve">الجريدة الرسمية </w:t>
      </w:r>
      <w:proofErr w:type="spellStart"/>
      <w:r w:rsidRPr="00E112F5">
        <w:rPr>
          <w:rFonts w:cs="Simplified Arabic" w:hint="cs"/>
          <w:sz w:val="24"/>
          <w:szCs w:val="24"/>
          <w:rtl/>
        </w:rPr>
        <w:t>للمناقشات.</w:t>
      </w:r>
      <w:proofErr w:type="gramStart"/>
      <w:r w:rsidRPr="00E112F5">
        <w:rPr>
          <w:rFonts w:cs="Simplified Arabic" w:hint="cs"/>
          <w:sz w:val="24"/>
          <w:szCs w:val="24"/>
          <w:rtl/>
        </w:rPr>
        <w:t>المجلس</w:t>
      </w:r>
      <w:proofErr w:type="spellEnd"/>
      <w:proofErr w:type="gramEnd"/>
      <w:r w:rsidRPr="00E112F5">
        <w:rPr>
          <w:rFonts w:cs="Simplified Arabic" w:hint="cs"/>
          <w:sz w:val="24"/>
          <w:szCs w:val="24"/>
          <w:rtl/>
        </w:rPr>
        <w:t xml:space="preserve"> الشعبي الوطني. السنة الأولى </w:t>
      </w:r>
      <w:proofErr w:type="gramStart"/>
      <w:r w:rsidRPr="00E112F5">
        <w:rPr>
          <w:rFonts w:cs="Simplified Arabic" w:hint="cs"/>
          <w:sz w:val="24"/>
          <w:szCs w:val="24"/>
          <w:rtl/>
        </w:rPr>
        <w:t>رقم</w:t>
      </w:r>
      <w:proofErr w:type="gramEnd"/>
      <w:r w:rsidRPr="00E112F5">
        <w:rPr>
          <w:rFonts w:cs="Simplified Arabic" w:hint="cs"/>
          <w:sz w:val="24"/>
          <w:szCs w:val="24"/>
          <w:rtl/>
        </w:rPr>
        <w:t xml:space="preserve"> 47. ص 5.</w:t>
      </w:r>
    </w:p>
    <w:p w:rsidR="00D06D8C" w:rsidRDefault="00D06D8C" w:rsidP="00D06D8C">
      <w:pPr>
        <w:pStyle w:val="Notedebasdepage"/>
        <w:bidi/>
        <w:rPr>
          <w:rFonts w:cs="Simplified Arabic" w:hint="cs"/>
          <w:sz w:val="24"/>
          <w:szCs w:val="24"/>
          <w:rtl/>
        </w:rPr>
      </w:pPr>
    </w:p>
    <w:p w:rsidR="00D06D8C" w:rsidRPr="00E112F5" w:rsidRDefault="00D06D8C" w:rsidP="00D06D8C">
      <w:pPr>
        <w:pStyle w:val="Notedebasdepage"/>
        <w:bidi/>
        <w:rPr>
          <w:rFonts w:cs="Simplified Arabic" w:hint="cs"/>
          <w:sz w:val="24"/>
          <w:szCs w:val="24"/>
          <w:rtl/>
          <w:lang w:bidi="ar-D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4"/>
      <w:gridCol w:w="1159"/>
    </w:tblGrid>
    <w:tr w:rsidR="00D06D8C">
      <w:trPr>
        <w:trHeight w:val="288"/>
      </w:trPr>
      <w:sdt>
        <w:sdtPr>
          <w:rPr>
            <w:rFonts w:asciiTheme="majorHAnsi" w:eastAsiaTheme="majorEastAsia" w:hAnsiTheme="majorHAnsi" w:cstheme="majorBidi"/>
            <w:sz w:val="28"/>
            <w:szCs w:val="28"/>
          </w:rPr>
          <w:alias w:val="Titre"/>
          <w:id w:val="77761602"/>
          <w:placeholder>
            <w:docPart w:val="16796916FA944F40AC336082459B58D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06D8C" w:rsidRDefault="00D06D8C" w:rsidP="00D06D8C">
              <w:pPr>
                <w:pStyle w:val="En-tte"/>
                <w:jc w:val="right"/>
                <w:rPr>
                  <w:rFonts w:asciiTheme="majorHAnsi" w:eastAsiaTheme="majorEastAsia" w:hAnsiTheme="majorHAnsi" w:cstheme="majorBidi"/>
                  <w:sz w:val="36"/>
                  <w:szCs w:val="36"/>
                </w:rPr>
              </w:pPr>
              <w:r w:rsidRPr="00D06D8C">
                <w:rPr>
                  <w:rFonts w:asciiTheme="majorHAnsi" w:eastAsiaTheme="majorEastAsia" w:hAnsiTheme="majorHAnsi" w:cstheme="majorBidi" w:hint="cs"/>
                  <w:sz w:val="28"/>
                  <w:szCs w:val="28"/>
                  <w:rtl/>
                </w:rPr>
                <w:t>المحاضرة 1 في قانون الاجراءات المدنية والادارية أد روان محمد الصالح</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nnée"/>
          <w:id w:val="77761609"/>
          <w:placeholder>
            <w:docPart w:val="8D55E14237B24F9593FC98C667504D1B"/>
          </w:placeholder>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Content>
          <w:tc>
            <w:tcPr>
              <w:tcW w:w="1105" w:type="dxa"/>
            </w:tcPr>
            <w:p w:rsidR="00D06D8C" w:rsidRDefault="00D06D8C" w:rsidP="00D06D8C">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36"/>
                  <w:szCs w:val="36"/>
                  <w:rtl/>
                  <w14:shadow w14:blurRad="50800" w14:dist="38100" w14:dir="2700000" w14:sx="100000" w14:sy="100000" w14:kx="0" w14:ky="0" w14:algn="tl">
                    <w14:srgbClr w14:val="000000">
                      <w14:alpha w14:val="60000"/>
                    </w14:srgbClr>
                  </w14:shadow>
                  <w14:numForm w14:val="oldStyle"/>
                </w:rPr>
                <w:t>2020</w:t>
              </w:r>
            </w:p>
          </w:tc>
        </w:sdtContent>
      </w:sdt>
    </w:tr>
  </w:tbl>
  <w:p w:rsidR="00D06D8C" w:rsidRDefault="00D06D8C">
    <w:pPr>
      <w:pStyle w:val="En-tte"/>
    </w:pPr>
    <w:r>
      <w:rPr>
        <w:rFonts w:hint="cs"/>
        <w:rtl/>
      </w:rPr>
      <w:t xml:space="preserve">عنوان </w:t>
    </w:r>
    <w:proofErr w:type="gramStart"/>
    <w:r>
      <w:rPr>
        <w:rFonts w:hint="cs"/>
        <w:rtl/>
      </w:rPr>
      <w:t>المحضرة :</w:t>
    </w:r>
    <w:proofErr w:type="gramEnd"/>
    <w:r>
      <w:rPr>
        <w:rFonts w:hint="cs"/>
        <w:rtl/>
      </w:rPr>
      <w:t xml:space="preserve"> مبادئ التقاضي في النظام القضائي الجزائري ، الهدف التعريف بمبادئ التقاضي طبقا للقانون 08/09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8C"/>
    <w:rsid w:val="000D3D14"/>
    <w:rsid w:val="000E398E"/>
    <w:rsid w:val="005C3F9C"/>
    <w:rsid w:val="007C3493"/>
    <w:rsid w:val="00D06D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8C"/>
    <w:pPr>
      <w:spacing w:after="0" w:afterAutospacing="0"/>
      <w:ind w:firstLine="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D06D8C"/>
    <w:rPr>
      <w:sz w:val="20"/>
      <w:szCs w:val="20"/>
    </w:rPr>
  </w:style>
  <w:style w:type="character" w:customStyle="1" w:styleId="NotedebasdepageCar">
    <w:name w:val="Note de bas de page Car"/>
    <w:basedOn w:val="Policepardfaut"/>
    <w:link w:val="Notedebasdepage"/>
    <w:semiHidden/>
    <w:rsid w:val="00D06D8C"/>
    <w:rPr>
      <w:rFonts w:ascii="Times New Roman" w:eastAsia="Times New Roman" w:hAnsi="Times New Roman" w:cs="Times New Roman"/>
      <w:sz w:val="20"/>
      <w:szCs w:val="20"/>
      <w:lang w:eastAsia="fr-FR"/>
    </w:rPr>
  </w:style>
  <w:style w:type="character" w:styleId="Appelnotedebasdep">
    <w:name w:val="footnote reference"/>
    <w:uiPriority w:val="99"/>
    <w:semiHidden/>
    <w:rsid w:val="00D06D8C"/>
    <w:rPr>
      <w:vertAlign w:val="superscript"/>
    </w:rPr>
  </w:style>
  <w:style w:type="paragraph" w:styleId="En-tte">
    <w:name w:val="header"/>
    <w:basedOn w:val="Normal"/>
    <w:link w:val="En-tteCar"/>
    <w:uiPriority w:val="99"/>
    <w:unhideWhenUsed/>
    <w:rsid w:val="00D06D8C"/>
    <w:pPr>
      <w:tabs>
        <w:tab w:val="center" w:pos="4536"/>
        <w:tab w:val="right" w:pos="9072"/>
      </w:tabs>
    </w:pPr>
  </w:style>
  <w:style w:type="character" w:customStyle="1" w:styleId="En-tteCar">
    <w:name w:val="En-tête Car"/>
    <w:basedOn w:val="Policepardfaut"/>
    <w:link w:val="En-tte"/>
    <w:uiPriority w:val="99"/>
    <w:rsid w:val="00D06D8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06D8C"/>
    <w:pPr>
      <w:tabs>
        <w:tab w:val="center" w:pos="4536"/>
        <w:tab w:val="right" w:pos="9072"/>
      </w:tabs>
    </w:pPr>
  </w:style>
  <w:style w:type="character" w:customStyle="1" w:styleId="PieddepageCar">
    <w:name w:val="Pied de page Car"/>
    <w:basedOn w:val="Policepardfaut"/>
    <w:link w:val="Pieddepage"/>
    <w:uiPriority w:val="99"/>
    <w:rsid w:val="00D06D8C"/>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06D8C"/>
    <w:rPr>
      <w:rFonts w:ascii="Tahoma" w:hAnsi="Tahoma" w:cs="Tahoma"/>
      <w:sz w:val="16"/>
      <w:szCs w:val="16"/>
    </w:rPr>
  </w:style>
  <w:style w:type="character" w:customStyle="1" w:styleId="TextedebullesCar">
    <w:name w:val="Texte de bulles Car"/>
    <w:basedOn w:val="Policepardfaut"/>
    <w:link w:val="Textedebulles"/>
    <w:uiPriority w:val="99"/>
    <w:semiHidden/>
    <w:rsid w:val="00D06D8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8C"/>
    <w:pPr>
      <w:spacing w:after="0" w:afterAutospacing="0"/>
      <w:ind w:firstLine="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D06D8C"/>
    <w:rPr>
      <w:sz w:val="20"/>
      <w:szCs w:val="20"/>
    </w:rPr>
  </w:style>
  <w:style w:type="character" w:customStyle="1" w:styleId="NotedebasdepageCar">
    <w:name w:val="Note de bas de page Car"/>
    <w:basedOn w:val="Policepardfaut"/>
    <w:link w:val="Notedebasdepage"/>
    <w:semiHidden/>
    <w:rsid w:val="00D06D8C"/>
    <w:rPr>
      <w:rFonts w:ascii="Times New Roman" w:eastAsia="Times New Roman" w:hAnsi="Times New Roman" w:cs="Times New Roman"/>
      <w:sz w:val="20"/>
      <w:szCs w:val="20"/>
      <w:lang w:eastAsia="fr-FR"/>
    </w:rPr>
  </w:style>
  <w:style w:type="character" w:styleId="Appelnotedebasdep">
    <w:name w:val="footnote reference"/>
    <w:uiPriority w:val="99"/>
    <w:semiHidden/>
    <w:rsid w:val="00D06D8C"/>
    <w:rPr>
      <w:vertAlign w:val="superscript"/>
    </w:rPr>
  </w:style>
  <w:style w:type="paragraph" w:styleId="En-tte">
    <w:name w:val="header"/>
    <w:basedOn w:val="Normal"/>
    <w:link w:val="En-tteCar"/>
    <w:uiPriority w:val="99"/>
    <w:unhideWhenUsed/>
    <w:rsid w:val="00D06D8C"/>
    <w:pPr>
      <w:tabs>
        <w:tab w:val="center" w:pos="4536"/>
        <w:tab w:val="right" w:pos="9072"/>
      </w:tabs>
    </w:pPr>
  </w:style>
  <w:style w:type="character" w:customStyle="1" w:styleId="En-tteCar">
    <w:name w:val="En-tête Car"/>
    <w:basedOn w:val="Policepardfaut"/>
    <w:link w:val="En-tte"/>
    <w:uiPriority w:val="99"/>
    <w:rsid w:val="00D06D8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06D8C"/>
    <w:pPr>
      <w:tabs>
        <w:tab w:val="center" w:pos="4536"/>
        <w:tab w:val="right" w:pos="9072"/>
      </w:tabs>
    </w:pPr>
  </w:style>
  <w:style w:type="character" w:customStyle="1" w:styleId="PieddepageCar">
    <w:name w:val="Pied de page Car"/>
    <w:basedOn w:val="Policepardfaut"/>
    <w:link w:val="Pieddepage"/>
    <w:uiPriority w:val="99"/>
    <w:rsid w:val="00D06D8C"/>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06D8C"/>
    <w:rPr>
      <w:rFonts w:ascii="Tahoma" w:hAnsi="Tahoma" w:cs="Tahoma"/>
      <w:sz w:val="16"/>
      <w:szCs w:val="16"/>
    </w:rPr>
  </w:style>
  <w:style w:type="character" w:customStyle="1" w:styleId="TextedebullesCar">
    <w:name w:val="Texte de bulles Car"/>
    <w:basedOn w:val="Policepardfaut"/>
    <w:link w:val="Textedebulles"/>
    <w:uiPriority w:val="99"/>
    <w:semiHidden/>
    <w:rsid w:val="00D06D8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796916FA944F40AC336082459B58D7"/>
        <w:category>
          <w:name w:val="Général"/>
          <w:gallery w:val="placeholder"/>
        </w:category>
        <w:types>
          <w:type w:val="bbPlcHdr"/>
        </w:types>
        <w:behaviors>
          <w:behavior w:val="content"/>
        </w:behaviors>
        <w:guid w:val="{A2394DEB-AF55-43BD-8304-1AAD1080E56D}"/>
      </w:docPartPr>
      <w:docPartBody>
        <w:p w:rsidR="00000000" w:rsidRDefault="004434FC" w:rsidP="004434FC">
          <w:pPr>
            <w:pStyle w:val="16796916FA944F40AC336082459B58D7"/>
          </w:pPr>
          <w:r>
            <w:rPr>
              <w:rFonts w:asciiTheme="majorHAnsi" w:eastAsiaTheme="majorEastAsia" w:hAnsiTheme="majorHAnsi" w:cstheme="majorBidi"/>
              <w:sz w:val="36"/>
              <w:szCs w:val="36"/>
            </w:rPr>
            <w:t>[Titre du document]</w:t>
          </w:r>
        </w:p>
      </w:docPartBody>
    </w:docPart>
    <w:docPart>
      <w:docPartPr>
        <w:name w:val="8D55E14237B24F9593FC98C667504D1B"/>
        <w:category>
          <w:name w:val="Général"/>
          <w:gallery w:val="placeholder"/>
        </w:category>
        <w:types>
          <w:type w:val="bbPlcHdr"/>
        </w:types>
        <w:behaviors>
          <w:behavior w:val="content"/>
        </w:behaviors>
        <w:guid w:val="{14276D80-FD64-48BC-B1DC-8F9B943D7EBA}"/>
      </w:docPartPr>
      <w:docPartBody>
        <w:p w:rsidR="00000000" w:rsidRDefault="004434FC" w:rsidP="004434FC">
          <w:pPr>
            <w:pStyle w:val="8D55E14237B24F9593FC98C667504D1B"/>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FC"/>
    <w:rsid w:val="004434FC"/>
    <w:rsid w:val="00622B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6796916FA944F40AC336082459B58D7">
    <w:name w:val="16796916FA944F40AC336082459B58D7"/>
    <w:rsid w:val="004434FC"/>
  </w:style>
  <w:style w:type="paragraph" w:customStyle="1" w:styleId="8D55E14237B24F9593FC98C667504D1B">
    <w:name w:val="8D55E14237B24F9593FC98C667504D1B"/>
    <w:rsid w:val="004434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6796916FA944F40AC336082459B58D7">
    <w:name w:val="16796916FA944F40AC336082459B58D7"/>
    <w:rsid w:val="004434FC"/>
  </w:style>
  <w:style w:type="paragraph" w:customStyle="1" w:styleId="8D55E14237B24F9593FC98C667504D1B">
    <w:name w:val="8D55E14237B24F9593FC98C667504D1B"/>
    <w:rsid w:val="00443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1A032-B77F-43C4-85D2-459DCDC2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1400</Words>
  <Characters>7706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1 في قانون الاجراءات المدنية والادارية أد روان محمد الصالح</dc:title>
  <dc:creator>InfoGenie</dc:creator>
  <cp:lastModifiedBy>InfoGenie</cp:lastModifiedBy>
  <cp:revision>1</cp:revision>
  <dcterms:created xsi:type="dcterms:W3CDTF">2020-04-20T06:35:00Z</dcterms:created>
  <dcterms:modified xsi:type="dcterms:W3CDTF">2020-04-20T06:40:00Z</dcterms:modified>
</cp:coreProperties>
</file>