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704" w:rsidRPr="00781342" w:rsidRDefault="00485704" w:rsidP="00485704">
      <w:pPr>
        <w:bidi/>
        <w:spacing w:after="0" w:line="240" w:lineRule="auto"/>
        <w:ind w:left="360"/>
        <w:jc w:val="center"/>
        <w:rPr>
          <w:rFonts w:asciiTheme="majorBidi" w:hAnsiTheme="majorBidi" w:cs="Simplified Arabic"/>
          <w:b/>
          <w:bCs/>
          <w:sz w:val="36"/>
          <w:szCs w:val="36"/>
          <w:rtl/>
          <w:lang w:bidi="ar-DZ"/>
        </w:rPr>
      </w:pPr>
      <w:r>
        <w:rPr>
          <w:rFonts w:asciiTheme="majorBidi" w:hAnsiTheme="majorBidi" w:cs="Simplified Arabic" w:hint="cs"/>
          <w:b/>
          <w:bCs/>
          <w:sz w:val="36"/>
          <w:szCs w:val="36"/>
          <w:rtl/>
          <w:lang w:bidi="ar-DZ"/>
        </w:rPr>
        <w:t xml:space="preserve">عنوان </w:t>
      </w:r>
      <w:r>
        <w:rPr>
          <w:rFonts w:asciiTheme="majorBidi" w:hAnsiTheme="majorBidi" w:cs="Simplified Arabic"/>
          <w:b/>
          <w:bCs/>
          <w:sz w:val="36"/>
          <w:szCs w:val="36"/>
          <w:rtl/>
          <w:lang w:bidi="ar-DZ"/>
        </w:rPr>
        <w:t>المحاضرة</w:t>
      </w:r>
      <w:r w:rsidRPr="00781342">
        <w:rPr>
          <w:rFonts w:asciiTheme="majorBidi" w:hAnsiTheme="majorBidi" w:cs="Simplified Arabic"/>
          <w:b/>
          <w:bCs/>
          <w:sz w:val="36"/>
          <w:szCs w:val="36"/>
          <w:rtl/>
          <w:lang w:bidi="ar-DZ"/>
        </w:rPr>
        <w:t>:</w:t>
      </w:r>
      <w:r>
        <w:rPr>
          <w:rFonts w:asciiTheme="majorBidi" w:hAnsiTheme="majorBidi" w:cs="Simplified Arabic" w:hint="cs"/>
          <w:b/>
          <w:bCs/>
          <w:sz w:val="36"/>
          <w:szCs w:val="36"/>
          <w:rtl/>
          <w:lang w:bidi="ar-DZ"/>
        </w:rPr>
        <w:t>التأثير والتأثر في الأدب المقارن</w:t>
      </w:r>
      <w:r w:rsidRPr="00781342">
        <w:rPr>
          <w:rFonts w:asciiTheme="majorBidi" w:hAnsiTheme="majorBidi" w:cs="Simplified Arabic" w:hint="cs"/>
          <w:b/>
          <w:bCs/>
          <w:sz w:val="36"/>
          <w:szCs w:val="36"/>
          <w:rtl/>
          <w:lang w:bidi="ar-DZ"/>
        </w:rPr>
        <w:t>.</w:t>
      </w:r>
    </w:p>
    <w:p w:rsidR="00485704" w:rsidRPr="00F26317" w:rsidRDefault="00485704" w:rsidP="00485704">
      <w:pPr>
        <w:bidi/>
        <w:spacing w:after="0" w:line="240" w:lineRule="auto"/>
        <w:ind w:left="360"/>
        <w:jc w:val="center"/>
        <w:rPr>
          <w:rFonts w:asciiTheme="majorBidi" w:hAnsiTheme="majorBidi" w:cs="Simplified Arabic"/>
          <w:b/>
          <w:bCs/>
          <w:sz w:val="32"/>
          <w:szCs w:val="32"/>
          <w:rtl/>
          <w:lang w:bidi="ar-DZ"/>
        </w:rPr>
      </w:pPr>
    </w:p>
    <w:p w:rsidR="00485704" w:rsidRDefault="00485704" w:rsidP="00485704">
      <w:pPr>
        <w:bidi/>
        <w:spacing w:after="0" w:line="240" w:lineRule="auto"/>
        <w:ind w:firstLine="709"/>
        <w:jc w:val="both"/>
        <w:rPr>
          <w:rFonts w:asciiTheme="majorBidi" w:hAnsiTheme="majorBidi" w:cs="Simplified Arabic"/>
          <w:sz w:val="32"/>
          <w:szCs w:val="32"/>
          <w:rtl/>
          <w:lang w:bidi="ar-DZ"/>
        </w:rPr>
      </w:pPr>
      <w:r>
        <w:rPr>
          <w:rFonts w:asciiTheme="majorBidi" w:hAnsiTheme="majorBidi" w:cs="Simplified Arabic" w:hint="cs"/>
          <w:sz w:val="32"/>
          <w:szCs w:val="32"/>
          <w:rtl/>
          <w:lang w:bidi="ar-DZ"/>
        </w:rPr>
        <w:t>لقد عني الباحثون في مجال الأدب المقارن بالعديد من القضايا الهامة والجوهرية التي ترتبط ارتباطا وثيقا بعملية المقارنة بين الثقافات وآداب الأمم والشعوب، غير أن  قضية التأثير والتأثر مثلت مركز اهتمام الدرس المقارن وحجر الزاوية فيه، فهي الأساس الذي تقوم عليه عملية المقارنة الأدبية عند الباحثين المقارنين.</w:t>
      </w:r>
    </w:p>
    <w:p w:rsidR="00485704" w:rsidRDefault="00485704" w:rsidP="00485704">
      <w:pPr>
        <w:bidi/>
        <w:spacing w:after="0" w:line="240" w:lineRule="auto"/>
        <w:jc w:val="both"/>
        <w:rPr>
          <w:rFonts w:asciiTheme="majorBidi" w:hAnsiTheme="majorBidi" w:cs="Simplified Arabic"/>
          <w:sz w:val="32"/>
          <w:szCs w:val="32"/>
          <w:rtl/>
          <w:lang w:bidi="ar-DZ"/>
        </w:rPr>
      </w:pPr>
      <w:r>
        <w:rPr>
          <w:rFonts w:asciiTheme="majorBidi" w:hAnsiTheme="majorBidi" w:cs="Simplified Arabic" w:hint="cs"/>
          <w:sz w:val="32"/>
          <w:szCs w:val="32"/>
          <w:rtl/>
          <w:lang w:bidi="ar-DZ"/>
        </w:rPr>
        <w:t xml:space="preserve">    ومرد ذلك: أن كل إنتاج جدير أن نطلق عليه تسمية أدب يبلغ حد الكمال والتمام بالأخذ والعطاء والانفتاح، لا بالانكماش والانطواء، وتنطبق هذه الحقيقة على الأدب العربي وعلى كافة آداب الأمم والشعوب فتتجلى عملية التأثير والتأثر كحركة ذات حدين تعمل دائبة ونشيطة وفعالة</w:t>
      </w:r>
      <w:r w:rsidRPr="00AC6E71">
        <w:rPr>
          <w:rFonts w:asciiTheme="majorBidi" w:hAnsiTheme="majorBidi" w:cs="Simplified Arabic" w:hint="cs"/>
          <w:sz w:val="32"/>
          <w:szCs w:val="32"/>
          <w:vertAlign w:val="superscript"/>
          <w:rtl/>
          <w:lang w:bidi="ar-DZ"/>
        </w:rPr>
        <w:t>(</w:t>
      </w:r>
      <w:r w:rsidRPr="00002AE4">
        <w:rPr>
          <w:rStyle w:val="Appelnotedebasdep"/>
          <w:rFonts w:asciiTheme="majorBidi" w:hAnsiTheme="majorBidi" w:cs="Simplified Arabic"/>
          <w:sz w:val="32"/>
          <w:szCs w:val="32"/>
          <w:rtl/>
          <w:lang w:bidi="ar-DZ"/>
        </w:rPr>
        <w:footnoteReference w:id="2"/>
      </w:r>
      <w:r w:rsidRPr="00AC6E71">
        <w:rPr>
          <w:rFonts w:asciiTheme="majorBidi" w:hAnsiTheme="majorBidi" w:cs="Simplified Arabic" w:hint="cs"/>
          <w:sz w:val="32"/>
          <w:szCs w:val="32"/>
          <w:vertAlign w:val="superscript"/>
          <w:rtl/>
          <w:lang w:bidi="ar-DZ"/>
        </w:rPr>
        <w:t xml:space="preserve">)  </w:t>
      </w:r>
      <w:r>
        <w:rPr>
          <w:rFonts w:asciiTheme="majorBidi" w:hAnsiTheme="majorBidi" w:cs="Simplified Arabic" w:hint="cs"/>
          <w:sz w:val="32"/>
          <w:szCs w:val="32"/>
          <w:rtl/>
          <w:lang w:bidi="ar-DZ"/>
        </w:rPr>
        <w:t xml:space="preserve">.   </w:t>
      </w:r>
    </w:p>
    <w:p w:rsidR="00485704" w:rsidRDefault="00485704" w:rsidP="00485704">
      <w:pPr>
        <w:bidi/>
        <w:spacing w:after="0" w:line="240" w:lineRule="auto"/>
        <w:jc w:val="both"/>
        <w:rPr>
          <w:rFonts w:asciiTheme="majorBidi" w:hAnsiTheme="majorBidi" w:cs="Simplified Arabic"/>
          <w:sz w:val="32"/>
          <w:szCs w:val="32"/>
          <w:rtl/>
          <w:lang w:bidi="ar-DZ"/>
        </w:rPr>
      </w:pPr>
      <w:r>
        <w:rPr>
          <w:rFonts w:asciiTheme="majorBidi" w:hAnsiTheme="majorBidi" w:cs="Simplified Arabic" w:hint="cs"/>
          <w:sz w:val="32"/>
          <w:szCs w:val="32"/>
          <w:rtl/>
          <w:lang w:bidi="ar-DZ"/>
        </w:rPr>
        <w:t xml:space="preserve">   والأدب المقارن هو العلم الذي يدرس الصلات الأدبية بين الآداب المختلفة، ومواطن الالتقاء بينها في ماضيها وحاضرها والتأثرات العديدة التي تكون بين بعضها والبعض الآخر أيا كانت مظاهر هذه التأثرا</w:t>
      </w:r>
      <w:r>
        <w:rPr>
          <w:rFonts w:asciiTheme="majorBidi" w:hAnsiTheme="majorBidi" w:cs="Simplified Arabic" w:hint="eastAsia"/>
          <w:sz w:val="32"/>
          <w:szCs w:val="32"/>
          <w:rtl/>
          <w:lang w:bidi="ar-DZ"/>
        </w:rPr>
        <w:t>ت</w:t>
      </w:r>
      <w:r>
        <w:rPr>
          <w:rFonts w:asciiTheme="majorBidi" w:hAnsiTheme="majorBidi" w:cs="Simplified Arabic" w:hint="cs"/>
          <w:sz w:val="32"/>
          <w:szCs w:val="32"/>
          <w:rtl/>
          <w:lang w:bidi="ar-DZ"/>
        </w:rPr>
        <w:t>، وسواء تعلقت بالأصول الفنية العامة للأجناس والمذاهب الأدبية أو التيارا</w:t>
      </w:r>
      <w:r>
        <w:rPr>
          <w:rFonts w:asciiTheme="majorBidi" w:hAnsiTheme="majorBidi" w:cs="Simplified Arabic" w:hint="eastAsia"/>
          <w:sz w:val="32"/>
          <w:szCs w:val="32"/>
          <w:rtl/>
          <w:lang w:bidi="ar-DZ"/>
        </w:rPr>
        <w:t>ت</w:t>
      </w:r>
      <w:r>
        <w:rPr>
          <w:rFonts w:asciiTheme="majorBidi" w:hAnsiTheme="majorBidi" w:cs="Simplified Arabic" w:hint="cs"/>
          <w:sz w:val="32"/>
          <w:szCs w:val="32"/>
          <w:rtl/>
          <w:lang w:bidi="ar-DZ"/>
        </w:rPr>
        <w:t xml:space="preserve"> الفكرية، أو بطبيعة الموضوعات والمواقف والأشخاص التي تعالج أو تحاكي في الأدب، أو الصياغة الفنية والأفكار الجزئية في العمل الأدبي، أو بتغير ذلك من مظاهر التأثرات والتـأثيرات المختلفة</w:t>
      </w:r>
      <w:r w:rsidRPr="00AC6E71">
        <w:rPr>
          <w:rFonts w:asciiTheme="majorBidi" w:hAnsiTheme="majorBidi" w:cs="Simplified Arabic" w:hint="cs"/>
          <w:sz w:val="32"/>
          <w:szCs w:val="32"/>
          <w:vertAlign w:val="superscript"/>
          <w:rtl/>
          <w:lang w:bidi="ar-DZ"/>
        </w:rPr>
        <w:t>(</w:t>
      </w:r>
      <w:r w:rsidRPr="00002AE4">
        <w:rPr>
          <w:rStyle w:val="Appelnotedebasdep"/>
          <w:rFonts w:asciiTheme="majorBidi" w:hAnsiTheme="majorBidi" w:cs="Simplified Arabic"/>
          <w:sz w:val="32"/>
          <w:szCs w:val="32"/>
          <w:rtl/>
          <w:lang w:bidi="ar-DZ"/>
        </w:rPr>
        <w:footnoteReference w:id="3"/>
      </w:r>
      <w:r w:rsidRPr="00AC6E71">
        <w:rPr>
          <w:rFonts w:asciiTheme="majorBidi" w:hAnsiTheme="majorBidi" w:cs="Simplified Arabic" w:hint="cs"/>
          <w:sz w:val="32"/>
          <w:szCs w:val="32"/>
          <w:vertAlign w:val="superscript"/>
          <w:rtl/>
          <w:lang w:bidi="ar-DZ"/>
        </w:rPr>
        <w:t xml:space="preserve">)  </w:t>
      </w:r>
      <w:r>
        <w:rPr>
          <w:rFonts w:asciiTheme="majorBidi" w:hAnsiTheme="majorBidi" w:cs="Simplified Arabic" w:hint="cs"/>
          <w:sz w:val="32"/>
          <w:szCs w:val="32"/>
          <w:rtl/>
          <w:lang w:bidi="ar-DZ"/>
        </w:rPr>
        <w:t>.</w:t>
      </w:r>
    </w:p>
    <w:p w:rsidR="00485704" w:rsidRDefault="00485704" w:rsidP="00485704">
      <w:pPr>
        <w:bidi/>
        <w:spacing w:after="0" w:line="240" w:lineRule="auto"/>
        <w:jc w:val="both"/>
        <w:rPr>
          <w:rFonts w:asciiTheme="majorBidi" w:hAnsiTheme="majorBidi" w:cs="Simplified Arabic"/>
          <w:sz w:val="32"/>
          <w:szCs w:val="32"/>
          <w:rtl/>
          <w:lang w:bidi="ar-DZ"/>
        </w:rPr>
      </w:pPr>
      <w:r>
        <w:rPr>
          <w:rFonts w:asciiTheme="majorBidi" w:hAnsiTheme="majorBidi" w:cs="Simplified Arabic" w:hint="cs"/>
          <w:sz w:val="32"/>
          <w:szCs w:val="32"/>
          <w:rtl/>
          <w:lang w:bidi="ar-DZ"/>
        </w:rPr>
        <w:t xml:space="preserve">   إن تبادل التأثير والتأثر مجال تنافس وحيوية، وأقوى ضمان لتقدم الأدب الوطني والقومي، فهذا الفيلسوف"دالمبير"(1717-1783)، وهو من كبار المفكرين في عصر خطير من تاريخ الإنسانية تبادلت فيه أوروبا التيارات الفكرية والفنية، يقول" على الأمم المستنيرة أن تعطي وتأخذ، هذه حقيقة جد جوهرية لتقدم الآداب، بحيث لا يصح أن ينساها أو يهون من شأنها أولئك الذين يمارسون الأدب، والأمة الفرنسية بخاصة، قد شعرت من قديم بفوائد تبادل الصلات بين الآداب"</w:t>
      </w:r>
      <w:r w:rsidRPr="00AC6E71">
        <w:rPr>
          <w:rFonts w:asciiTheme="majorBidi" w:hAnsiTheme="majorBidi" w:cs="Simplified Arabic" w:hint="cs"/>
          <w:sz w:val="32"/>
          <w:szCs w:val="32"/>
          <w:vertAlign w:val="superscript"/>
          <w:rtl/>
          <w:lang w:bidi="ar-DZ"/>
        </w:rPr>
        <w:t>(</w:t>
      </w:r>
      <w:r w:rsidRPr="00002AE4">
        <w:rPr>
          <w:rStyle w:val="Appelnotedebasdep"/>
          <w:rFonts w:asciiTheme="majorBidi" w:hAnsiTheme="majorBidi" w:cs="Simplified Arabic"/>
          <w:sz w:val="32"/>
          <w:szCs w:val="32"/>
          <w:rtl/>
          <w:lang w:bidi="ar-DZ"/>
        </w:rPr>
        <w:footnoteReference w:id="4"/>
      </w:r>
      <w:r w:rsidRPr="00AC6E71">
        <w:rPr>
          <w:rFonts w:asciiTheme="majorBidi" w:hAnsiTheme="majorBidi" w:cs="Simplified Arabic" w:hint="cs"/>
          <w:sz w:val="32"/>
          <w:szCs w:val="32"/>
          <w:vertAlign w:val="superscript"/>
          <w:rtl/>
          <w:lang w:bidi="ar-DZ"/>
        </w:rPr>
        <w:t xml:space="preserve">)  </w:t>
      </w:r>
      <w:r>
        <w:rPr>
          <w:rFonts w:asciiTheme="majorBidi" w:hAnsiTheme="majorBidi" w:cs="Simplified Arabic" w:hint="cs"/>
          <w:sz w:val="32"/>
          <w:szCs w:val="32"/>
          <w:rtl/>
          <w:lang w:bidi="ar-DZ"/>
        </w:rPr>
        <w:t>.</w:t>
      </w:r>
    </w:p>
    <w:p w:rsidR="00485704" w:rsidRDefault="00485704" w:rsidP="00485704">
      <w:pPr>
        <w:bidi/>
        <w:spacing w:after="0" w:line="240" w:lineRule="auto"/>
        <w:jc w:val="both"/>
        <w:rPr>
          <w:rFonts w:asciiTheme="majorBidi" w:hAnsiTheme="majorBidi" w:cs="Simplified Arabic"/>
          <w:sz w:val="32"/>
          <w:szCs w:val="32"/>
          <w:rtl/>
          <w:lang w:bidi="ar-DZ"/>
        </w:rPr>
      </w:pPr>
      <w:r>
        <w:rPr>
          <w:rFonts w:asciiTheme="majorBidi" w:hAnsiTheme="majorBidi" w:cs="Simplified Arabic" w:hint="cs"/>
          <w:sz w:val="32"/>
          <w:szCs w:val="32"/>
          <w:rtl/>
          <w:lang w:bidi="ar-DZ"/>
        </w:rPr>
        <w:lastRenderedPageBreak/>
        <w:t xml:space="preserve">   بهذا، ترمي دراسات التأثير والتأثر إلى الابتعاد عن التعصب، إذ يأخذ الشعب عن الشعب، والقوم عن القوم، والأمة عن الأمة وهذه سنة الحياة، وإذا كان ثمة فخر للبلد المعطي فلا عار على البلد الآخذ، وإنما له فخر الفهم والاستيعاب والإضافة، فالإنسانية وحدة متفاعلة وثقافتها كل لا يتجزأ، ويضيف اللاحق إلى ما تركه السابق في كل العصور وكل الأزمنة </w:t>
      </w:r>
      <w:r w:rsidRPr="00AC6E71">
        <w:rPr>
          <w:rFonts w:asciiTheme="majorBidi" w:hAnsiTheme="majorBidi" w:cs="Simplified Arabic" w:hint="cs"/>
          <w:sz w:val="32"/>
          <w:szCs w:val="32"/>
          <w:vertAlign w:val="superscript"/>
          <w:rtl/>
          <w:lang w:bidi="ar-DZ"/>
        </w:rPr>
        <w:t>(</w:t>
      </w:r>
      <w:r w:rsidRPr="00002AE4">
        <w:rPr>
          <w:rStyle w:val="Appelnotedebasdep"/>
          <w:rFonts w:asciiTheme="majorBidi" w:hAnsiTheme="majorBidi" w:cs="Simplified Arabic"/>
          <w:sz w:val="32"/>
          <w:szCs w:val="32"/>
          <w:rtl/>
          <w:lang w:bidi="ar-DZ"/>
        </w:rPr>
        <w:footnoteReference w:id="5"/>
      </w:r>
      <w:r w:rsidRPr="00AC6E71">
        <w:rPr>
          <w:rFonts w:asciiTheme="majorBidi" w:hAnsiTheme="majorBidi" w:cs="Simplified Arabic" w:hint="cs"/>
          <w:sz w:val="32"/>
          <w:szCs w:val="32"/>
          <w:vertAlign w:val="superscript"/>
          <w:rtl/>
          <w:lang w:bidi="ar-DZ"/>
        </w:rPr>
        <w:t xml:space="preserve">)  </w:t>
      </w:r>
      <w:r>
        <w:rPr>
          <w:rFonts w:asciiTheme="majorBidi" w:hAnsiTheme="majorBidi" w:cs="Simplified Arabic" w:hint="cs"/>
          <w:sz w:val="32"/>
          <w:szCs w:val="32"/>
          <w:rtl/>
          <w:lang w:bidi="ar-DZ"/>
        </w:rPr>
        <w:t>.</w:t>
      </w:r>
    </w:p>
    <w:p w:rsidR="00485704" w:rsidRDefault="00485704" w:rsidP="00485704">
      <w:pPr>
        <w:bidi/>
        <w:spacing w:after="0" w:line="240" w:lineRule="auto"/>
        <w:jc w:val="both"/>
        <w:rPr>
          <w:rFonts w:asciiTheme="majorBidi" w:hAnsiTheme="majorBidi" w:cs="Simplified Arabic"/>
          <w:sz w:val="32"/>
          <w:szCs w:val="32"/>
          <w:rtl/>
          <w:lang w:bidi="ar-DZ"/>
        </w:rPr>
      </w:pPr>
      <w:r>
        <w:rPr>
          <w:rFonts w:asciiTheme="majorBidi" w:hAnsiTheme="majorBidi" w:cs="Simplified Arabic" w:hint="cs"/>
          <w:sz w:val="32"/>
          <w:szCs w:val="32"/>
          <w:rtl/>
          <w:lang w:bidi="ar-DZ"/>
        </w:rPr>
        <w:t xml:space="preserve">   نعم، هكذا تنتقل التيارات الأدبية والفكرية من بلد إلى آخر رغم الحواجز اللغوية والحدود السياسية، وتجتاح بلدانا متجاورة أو بعيدة لتجعل من عالمنا الضيق كتلة واحدة، ويخضع الأدب لهذه التيارات، إذا انطوى الأدب القومي أو الوطني على نفسه، ذبل وأصيب بالوهن وحل فيه السقم والضعف، ولذا نراه يرتوي من المناهل الغريبة عنه، ويتمثل بعض ما تقدمه له، ونقول: إن أروع الآثار الأدبية القومية تعتمد دوما على الموارد الأجنبية والغريبة</w:t>
      </w:r>
      <w:r w:rsidRPr="00AC6E71">
        <w:rPr>
          <w:rFonts w:asciiTheme="majorBidi" w:hAnsiTheme="majorBidi" w:cs="Simplified Arabic" w:hint="cs"/>
          <w:sz w:val="32"/>
          <w:szCs w:val="32"/>
          <w:vertAlign w:val="superscript"/>
          <w:rtl/>
          <w:lang w:bidi="ar-DZ"/>
        </w:rPr>
        <w:t>(</w:t>
      </w:r>
      <w:r w:rsidRPr="00002AE4">
        <w:rPr>
          <w:rStyle w:val="Appelnotedebasdep"/>
          <w:rFonts w:asciiTheme="majorBidi" w:hAnsiTheme="majorBidi" w:cs="Simplified Arabic"/>
          <w:sz w:val="32"/>
          <w:szCs w:val="32"/>
          <w:rtl/>
          <w:lang w:bidi="ar-DZ"/>
        </w:rPr>
        <w:footnoteReference w:id="6"/>
      </w:r>
      <w:r w:rsidRPr="00AC6E71">
        <w:rPr>
          <w:rFonts w:asciiTheme="majorBidi" w:hAnsiTheme="majorBidi" w:cs="Simplified Arabic" w:hint="cs"/>
          <w:sz w:val="32"/>
          <w:szCs w:val="32"/>
          <w:vertAlign w:val="superscript"/>
          <w:rtl/>
          <w:lang w:bidi="ar-DZ"/>
        </w:rPr>
        <w:t xml:space="preserve">)  </w:t>
      </w:r>
      <w:r>
        <w:rPr>
          <w:rFonts w:asciiTheme="majorBidi" w:hAnsiTheme="majorBidi" w:cs="Simplified Arabic" w:hint="cs"/>
          <w:sz w:val="32"/>
          <w:szCs w:val="32"/>
          <w:rtl/>
          <w:lang w:bidi="ar-DZ"/>
        </w:rPr>
        <w:t>.</w:t>
      </w:r>
    </w:p>
    <w:p w:rsidR="00485704" w:rsidRDefault="00485704" w:rsidP="00485704">
      <w:pPr>
        <w:bidi/>
        <w:spacing w:after="0" w:line="240" w:lineRule="auto"/>
        <w:jc w:val="both"/>
        <w:rPr>
          <w:rFonts w:asciiTheme="majorBidi" w:hAnsiTheme="majorBidi" w:cs="Simplified Arabic"/>
          <w:sz w:val="32"/>
          <w:szCs w:val="32"/>
          <w:rtl/>
          <w:lang w:bidi="ar-DZ"/>
        </w:rPr>
      </w:pPr>
      <w:r>
        <w:rPr>
          <w:rFonts w:asciiTheme="majorBidi" w:hAnsiTheme="majorBidi" w:cs="Simplified Arabic" w:hint="cs"/>
          <w:sz w:val="32"/>
          <w:szCs w:val="32"/>
          <w:rtl/>
          <w:lang w:bidi="ar-DZ"/>
        </w:rPr>
        <w:t xml:space="preserve">   وفي هذا المجال </w:t>
      </w:r>
      <w:r>
        <w:rPr>
          <w:rFonts w:asciiTheme="majorBidi" w:hAnsiTheme="majorBidi" w:cs="Simplified Arabic"/>
          <w:sz w:val="32"/>
          <w:szCs w:val="32"/>
          <w:rtl/>
          <w:lang w:bidi="ar-DZ"/>
        </w:rPr>
        <w:t>–</w:t>
      </w:r>
      <w:r>
        <w:rPr>
          <w:rFonts w:asciiTheme="majorBidi" w:hAnsiTheme="majorBidi" w:cs="Simplified Arabic" w:hint="cs"/>
          <w:sz w:val="32"/>
          <w:szCs w:val="32"/>
          <w:rtl/>
          <w:lang w:bidi="ar-DZ"/>
        </w:rPr>
        <w:t>مجال التجاوب في الميول والاتجاهات الفنية والفكرية- تنمحي الحدود المعوقة في اللغة والجنس، فيشعر الكاتب الذي يحاكي الآخرين ويتأثر بهم، بصدد من يشبهون مواطنيه، لكثرة ما بينه وبينهم من تشابه، بل إنه ليشعر أنهم مشاركوه في وطنه الفكري المثالي، وهم في الواقع يخدمون وطنه بإغناء أدبه والإسهام في نهضته الفكرية، وبهم يتحقق في الأدب المتأثر ما لم يكن قبلهم سوى إمكانيات وميول ونزعات حائرة، فالكاتب المجدد يبحث في المصادر الخارجية عن نطاق أدبه عما هو موجود في نفسه سلفا وجودا إمكانيا مصداقا لما يقال: لن تبحث عني إذا لم يكن قد سبق أن لقيتني</w:t>
      </w:r>
      <w:r w:rsidRPr="00AC6E71">
        <w:rPr>
          <w:rFonts w:asciiTheme="majorBidi" w:hAnsiTheme="majorBidi" w:cs="Simplified Arabic" w:hint="cs"/>
          <w:sz w:val="32"/>
          <w:szCs w:val="32"/>
          <w:vertAlign w:val="superscript"/>
          <w:rtl/>
          <w:lang w:bidi="ar-DZ"/>
        </w:rPr>
        <w:t>(</w:t>
      </w:r>
      <w:r w:rsidRPr="00002AE4">
        <w:rPr>
          <w:rStyle w:val="Appelnotedebasdep"/>
          <w:rFonts w:asciiTheme="majorBidi" w:hAnsiTheme="majorBidi" w:cs="Simplified Arabic"/>
          <w:sz w:val="32"/>
          <w:szCs w:val="32"/>
          <w:rtl/>
          <w:lang w:bidi="ar-DZ"/>
        </w:rPr>
        <w:footnoteReference w:id="7"/>
      </w:r>
      <w:r w:rsidRPr="00AC6E71">
        <w:rPr>
          <w:rFonts w:asciiTheme="majorBidi" w:hAnsiTheme="majorBidi" w:cs="Simplified Arabic" w:hint="cs"/>
          <w:sz w:val="32"/>
          <w:szCs w:val="32"/>
          <w:vertAlign w:val="superscript"/>
          <w:rtl/>
          <w:lang w:bidi="ar-DZ"/>
        </w:rPr>
        <w:t xml:space="preserve">)  </w:t>
      </w:r>
      <w:r>
        <w:rPr>
          <w:rFonts w:asciiTheme="majorBidi" w:hAnsiTheme="majorBidi" w:cs="Simplified Arabic" w:hint="cs"/>
          <w:sz w:val="32"/>
          <w:szCs w:val="32"/>
          <w:rtl/>
          <w:lang w:bidi="ar-DZ"/>
        </w:rPr>
        <w:t>.</w:t>
      </w:r>
    </w:p>
    <w:p w:rsidR="00485704" w:rsidRDefault="00485704" w:rsidP="00485704">
      <w:pPr>
        <w:bidi/>
        <w:spacing w:after="0" w:line="240" w:lineRule="auto"/>
        <w:jc w:val="both"/>
        <w:rPr>
          <w:rFonts w:asciiTheme="majorBidi" w:hAnsiTheme="majorBidi" w:cs="Simplified Arabic"/>
          <w:sz w:val="32"/>
          <w:szCs w:val="32"/>
          <w:rtl/>
          <w:lang w:bidi="ar-DZ"/>
        </w:rPr>
      </w:pPr>
      <w:r>
        <w:rPr>
          <w:rFonts w:asciiTheme="majorBidi" w:hAnsiTheme="majorBidi" w:cs="Simplified Arabic" w:hint="cs"/>
          <w:sz w:val="32"/>
          <w:szCs w:val="32"/>
          <w:rtl/>
          <w:lang w:bidi="ar-DZ"/>
        </w:rPr>
        <w:t xml:space="preserve">   إذا رحنا-بعد هذا- نبحث في تاريخ الآداب الأوروبية سوف نجد ظواهر تعود دراستها اليوم إلى الأدب المقارن، تبدو هذه الظواهر على شكل تيارات مؤثرة ومتأثرة، تحمل ما كتب بلغة وطنية إلى اللغات المجاورة وبالعكس، وقد تظهر التيارات على أشكال ثلاثة، فإما المستعير يتقبل ما يأتيه من الخارج مباشرة، أو يحوره أو يرفضه، فهناك إذا تأثيرات وتأثرات مباشرة وصريحة، أو محورة أو عكسية، وذلك في حالة مقاومة البلد أو الأديب النموذج الذي </w:t>
      </w:r>
      <w:r>
        <w:rPr>
          <w:rFonts w:asciiTheme="majorBidi" w:hAnsiTheme="majorBidi" w:cs="Simplified Arabic" w:hint="cs"/>
          <w:sz w:val="32"/>
          <w:szCs w:val="32"/>
          <w:rtl/>
          <w:lang w:bidi="ar-DZ"/>
        </w:rPr>
        <w:lastRenderedPageBreak/>
        <w:t>يفرضه عليه أدب أمة أخرى أو أديب غريب عنه، فينتج عن هذه المقاومة نموذج يتناقض مع الأصل</w:t>
      </w:r>
      <w:r w:rsidRPr="00AC6E71">
        <w:rPr>
          <w:rFonts w:asciiTheme="majorBidi" w:hAnsiTheme="majorBidi" w:cs="Simplified Arabic" w:hint="cs"/>
          <w:sz w:val="32"/>
          <w:szCs w:val="32"/>
          <w:vertAlign w:val="superscript"/>
          <w:rtl/>
          <w:lang w:bidi="ar-DZ"/>
        </w:rPr>
        <w:t>(</w:t>
      </w:r>
      <w:r w:rsidRPr="00002AE4">
        <w:rPr>
          <w:rStyle w:val="Appelnotedebasdep"/>
          <w:rFonts w:asciiTheme="majorBidi" w:hAnsiTheme="majorBidi" w:cs="Simplified Arabic"/>
          <w:sz w:val="32"/>
          <w:szCs w:val="32"/>
          <w:rtl/>
          <w:lang w:bidi="ar-DZ"/>
        </w:rPr>
        <w:footnoteReference w:id="8"/>
      </w:r>
      <w:r w:rsidRPr="00AC6E71">
        <w:rPr>
          <w:rFonts w:asciiTheme="majorBidi" w:hAnsiTheme="majorBidi" w:cs="Simplified Arabic" w:hint="cs"/>
          <w:sz w:val="32"/>
          <w:szCs w:val="32"/>
          <w:vertAlign w:val="superscript"/>
          <w:rtl/>
          <w:lang w:bidi="ar-DZ"/>
        </w:rPr>
        <w:t xml:space="preserve">)  </w:t>
      </w:r>
      <w:r>
        <w:rPr>
          <w:rFonts w:asciiTheme="majorBidi" w:hAnsiTheme="majorBidi" w:cs="Simplified Arabic" w:hint="cs"/>
          <w:sz w:val="32"/>
          <w:szCs w:val="32"/>
          <w:rtl/>
          <w:lang w:bidi="ar-DZ"/>
        </w:rPr>
        <w:t>.</w:t>
      </w:r>
    </w:p>
    <w:p w:rsidR="00485704" w:rsidRDefault="00485704" w:rsidP="00485704">
      <w:pPr>
        <w:bidi/>
        <w:spacing w:after="0" w:line="240" w:lineRule="auto"/>
        <w:jc w:val="both"/>
        <w:rPr>
          <w:rFonts w:asciiTheme="majorBidi" w:hAnsiTheme="majorBidi" w:cs="Simplified Arabic"/>
          <w:sz w:val="32"/>
          <w:szCs w:val="32"/>
          <w:rtl/>
          <w:lang w:bidi="ar-DZ"/>
        </w:rPr>
      </w:pPr>
      <w:r>
        <w:rPr>
          <w:rFonts w:asciiTheme="majorBidi" w:hAnsiTheme="majorBidi" w:cs="Simplified Arabic" w:hint="cs"/>
          <w:sz w:val="32"/>
          <w:szCs w:val="32"/>
          <w:rtl/>
          <w:lang w:bidi="ar-DZ"/>
        </w:rPr>
        <w:t xml:space="preserve">   وعطفا على ما سبق، كان مصطلح التأثير أروج مصطلحات الأدب المقارن ذيوعا، وعادة تلمح مصادر الأدب المقارن إلى عدم الخلط بينه وبين الشهرة، أو النجاح، أو الحظ، دون أن تقدم شيئا واضحا يعاون على التمييز بين هذه المصطلحات</w:t>
      </w:r>
      <w:r w:rsidRPr="00AC6E71">
        <w:rPr>
          <w:rFonts w:asciiTheme="majorBidi" w:hAnsiTheme="majorBidi" w:cs="Simplified Arabic" w:hint="cs"/>
          <w:sz w:val="32"/>
          <w:szCs w:val="32"/>
          <w:vertAlign w:val="superscript"/>
          <w:rtl/>
          <w:lang w:bidi="ar-DZ"/>
        </w:rPr>
        <w:t>(</w:t>
      </w:r>
      <w:r w:rsidRPr="00002AE4">
        <w:rPr>
          <w:rStyle w:val="Appelnotedebasdep"/>
          <w:rFonts w:asciiTheme="majorBidi" w:hAnsiTheme="majorBidi" w:cs="Simplified Arabic"/>
          <w:sz w:val="32"/>
          <w:szCs w:val="32"/>
          <w:rtl/>
          <w:lang w:bidi="ar-DZ"/>
        </w:rPr>
        <w:footnoteReference w:id="9"/>
      </w:r>
      <w:r w:rsidRPr="00AC6E71">
        <w:rPr>
          <w:rFonts w:asciiTheme="majorBidi" w:hAnsiTheme="majorBidi" w:cs="Simplified Arabic" w:hint="cs"/>
          <w:sz w:val="32"/>
          <w:szCs w:val="32"/>
          <w:vertAlign w:val="superscript"/>
          <w:rtl/>
          <w:lang w:bidi="ar-DZ"/>
        </w:rPr>
        <w:t xml:space="preserve">)  </w:t>
      </w:r>
      <w:r>
        <w:rPr>
          <w:rFonts w:asciiTheme="majorBidi" w:hAnsiTheme="majorBidi" w:cs="Simplified Arabic" w:hint="cs"/>
          <w:sz w:val="32"/>
          <w:szCs w:val="32"/>
          <w:rtl/>
          <w:lang w:bidi="ar-DZ"/>
        </w:rPr>
        <w:t>.</w:t>
      </w:r>
    </w:p>
    <w:p w:rsidR="00485704" w:rsidRDefault="00485704" w:rsidP="00485704">
      <w:pPr>
        <w:bidi/>
        <w:spacing w:after="0" w:line="240" w:lineRule="auto"/>
        <w:jc w:val="both"/>
        <w:rPr>
          <w:rFonts w:asciiTheme="majorBidi" w:hAnsiTheme="majorBidi" w:cs="Simplified Arabic"/>
          <w:sz w:val="32"/>
          <w:szCs w:val="32"/>
          <w:rtl/>
          <w:lang w:bidi="ar-DZ"/>
        </w:rPr>
      </w:pPr>
      <w:r>
        <w:rPr>
          <w:rFonts w:asciiTheme="majorBidi" w:hAnsiTheme="majorBidi" w:cs="Simplified Arabic" w:hint="cs"/>
          <w:sz w:val="32"/>
          <w:szCs w:val="32"/>
          <w:rtl/>
          <w:lang w:bidi="ar-DZ"/>
        </w:rPr>
        <w:t xml:space="preserve">   وهنا، يمكن القول بدءا: إن له أكثر من مفهوم، وأروجها ما يشير إلى علاقة مباشرة من أي نوع، والتي يمكن أن تقوم بين المرسل والمتلقي، فدراسة تأثير إليوت في الشعر العربي المعاصر-مثلا- تعني أن ندرس ما ترجم من أعماله إلى اللغة العربية، وأعمال مقلديه، والصلات الشخصية بينه وبين من قلدوه، إن وجدت، وما وجه إليه من نقد، والدراسات التي نشرت عنه في العالم العربي، أي أن تأثيره يساوي مجموعة العلاقات المباشرة بينه وبين الأدب العربي، وهذا المفهوم لمصطلح التأثير قد يلتقي مع مصطلح الشهرة، ولكن يظل الفرق بينهما واضحا، لأننا حين نتحدث عن الشهرة، نعني الانتشار، ونشير إلى الجانب المادي من العلاقات المباشرة فحسب، إلى تنوعها، ونماذجها، وتوثيقها، على حين أن مصطلح التأثير يضيف ظلا نوعيا، وإدراكا نقديا للمشكلة، ويمكن القول: إن دراسة الشهرة مقارنة إحصائية، على حين أن دراسة التأثير مهمة أدبية </w:t>
      </w:r>
      <w:r w:rsidRPr="00AC6E71">
        <w:rPr>
          <w:rFonts w:asciiTheme="majorBidi" w:hAnsiTheme="majorBidi" w:cs="Simplified Arabic" w:hint="cs"/>
          <w:sz w:val="32"/>
          <w:szCs w:val="32"/>
          <w:vertAlign w:val="superscript"/>
          <w:rtl/>
          <w:lang w:bidi="ar-DZ"/>
        </w:rPr>
        <w:t>(</w:t>
      </w:r>
      <w:r w:rsidRPr="00002AE4">
        <w:rPr>
          <w:rStyle w:val="Appelnotedebasdep"/>
          <w:rFonts w:asciiTheme="majorBidi" w:hAnsiTheme="majorBidi" w:cs="Simplified Arabic"/>
          <w:sz w:val="32"/>
          <w:szCs w:val="32"/>
          <w:rtl/>
          <w:lang w:bidi="ar-DZ"/>
        </w:rPr>
        <w:footnoteReference w:id="10"/>
      </w:r>
      <w:r w:rsidRPr="00AC6E71">
        <w:rPr>
          <w:rFonts w:asciiTheme="majorBidi" w:hAnsiTheme="majorBidi" w:cs="Simplified Arabic" w:hint="cs"/>
          <w:sz w:val="32"/>
          <w:szCs w:val="32"/>
          <w:vertAlign w:val="superscript"/>
          <w:rtl/>
          <w:lang w:bidi="ar-DZ"/>
        </w:rPr>
        <w:t xml:space="preserve">)  </w:t>
      </w:r>
      <w:r>
        <w:rPr>
          <w:rFonts w:asciiTheme="majorBidi" w:hAnsiTheme="majorBidi" w:cs="Simplified Arabic" w:hint="cs"/>
          <w:sz w:val="32"/>
          <w:szCs w:val="32"/>
          <w:rtl/>
          <w:lang w:bidi="ar-DZ"/>
        </w:rPr>
        <w:t>.</w:t>
      </w:r>
    </w:p>
    <w:p w:rsidR="00485704" w:rsidRDefault="00485704" w:rsidP="00485704">
      <w:pPr>
        <w:bidi/>
        <w:spacing w:after="0" w:line="240" w:lineRule="auto"/>
        <w:jc w:val="both"/>
        <w:rPr>
          <w:rFonts w:asciiTheme="majorBidi" w:hAnsiTheme="majorBidi" w:cs="Simplified Arabic"/>
          <w:sz w:val="32"/>
          <w:szCs w:val="32"/>
          <w:rtl/>
          <w:lang w:bidi="ar-DZ"/>
        </w:rPr>
      </w:pPr>
      <w:r>
        <w:rPr>
          <w:rFonts w:asciiTheme="majorBidi" w:hAnsiTheme="majorBidi" w:cs="Simplified Arabic" w:hint="cs"/>
          <w:sz w:val="32"/>
          <w:szCs w:val="32"/>
          <w:rtl/>
          <w:lang w:bidi="ar-DZ"/>
        </w:rPr>
        <w:t xml:space="preserve">   ويمكن تقسيم علاقات التأثير، إلى أربعة أنواع رئيسة هي</w:t>
      </w:r>
      <w:r w:rsidRPr="00AC6E71">
        <w:rPr>
          <w:rFonts w:asciiTheme="majorBidi" w:hAnsiTheme="majorBidi" w:cs="Simplified Arabic" w:hint="cs"/>
          <w:sz w:val="32"/>
          <w:szCs w:val="32"/>
          <w:vertAlign w:val="superscript"/>
          <w:rtl/>
          <w:lang w:bidi="ar-DZ"/>
        </w:rPr>
        <w:t>(</w:t>
      </w:r>
      <w:r w:rsidRPr="00002AE4">
        <w:rPr>
          <w:rStyle w:val="Appelnotedebasdep"/>
          <w:rFonts w:asciiTheme="majorBidi" w:hAnsiTheme="majorBidi" w:cs="Simplified Arabic"/>
          <w:sz w:val="32"/>
          <w:szCs w:val="32"/>
          <w:rtl/>
          <w:lang w:bidi="ar-DZ"/>
        </w:rPr>
        <w:footnoteReference w:id="11"/>
      </w:r>
      <w:r w:rsidRPr="00AC6E71">
        <w:rPr>
          <w:rFonts w:asciiTheme="majorBidi" w:hAnsiTheme="majorBidi" w:cs="Simplified Arabic" w:hint="cs"/>
          <w:sz w:val="32"/>
          <w:szCs w:val="32"/>
          <w:vertAlign w:val="superscript"/>
          <w:rtl/>
          <w:lang w:bidi="ar-DZ"/>
        </w:rPr>
        <w:t xml:space="preserve">)  </w:t>
      </w:r>
      <w:r>
        <w:rPr>
          <w:rFonts w:asciiTheme="majorBidi" w:hAnsiTheme="majorBidi" w:cs="Simplified Arabic" w:hint="cs"/>
          <w:sz w:val="32"/>
          <w:szCs w:val="32"/>
          <w:rtl/>
          <w:lang w:bidi="ar-DZ"/>
        </w:rPr>
        <w:t>:</w:t>
      </w:r>
    </w:p>
    <w:p w:rsidR="00485704" w:rsidRDefault="00485704" w:rsidP="00485704">
      <w:pPr>
        <w:bidi/>
        <w:spacing w:after="0" w:line="240" w:lineRule="auto"/>
        <w:jc w:val="both"/>
        <w:rPr>
          <w:rFonts w:asciiTheme="majorBidi" w:hAnsiTheme="majorBidi" w:cs="Simplified Arabic"/>
          <w:sz w:val="32"/>
          <w:szCs w:val="32"/>
          <w:rtl/>
          <w:lang w:bidi="ar-DZ"/>
        </w:rPr>
      </w:pPr>
      <w:r>
        <w:rPr>
          <w:rFonts w:asciiTheme="majorBidi" w:hAnsiTheme="majorBidi" w:cs="Simplified Arabic" w:hint="cs"/>
          <w:sz w:val="32"/>
          <w:szCs w:val="32"/>
          <w:rtl/>
          <w:lang w:bidi="ar-DZ"/>
        </w:rPr>
        <w:t xml:space="preserve">   1-التأثير الشخصي: تأثير (روسو) في أديب ما، أو أدب ما.</w:t>
      </w:r>
    </w:p>
    <w:p w:rsidR="00485704" w:rsidRDefault="00485704" w:rsidP="00485704">
      <w:pPr>
        <w:bidi/>
        <w:spacing w:after="0" w:line="240" w:lineRule="auto"/>
        <w:jc w:val="both"/>
        <w:rPr>
          <w:rFonts w:asciiTheme="majorBidi" w:hAnsiTheme="majorBidi" w:cs="Simplified Arabic"/>
          <w:sz w:val="32"/>
          <w:szCs w:val="32"/>
          <w:rtl/>
          <w:lang w:bidi="ar-DZ"/>
        </w:rPr>
      </w:pPr>
      <w:r>
        <w:rPr>
          <w:rFonts w:asciiTheme="majorBidi" w:hAnsiTheme="majorBidi" w:cs="Simplified Arabic" w:hint="cs"/>
          <w:sz w:val="32"/>
          <w:szCs w:val="32"/>
          <w:rtl/>
          <w:lang w:bidi="ar-DZ"/>
        </w:rPr>
        <w:t xml:space="preserve">   2-التأثير التقني/الفني: مثلا: عظمة الدراما الشكسبيرية إزاء الرومانسيي</w:t>
      </w:r>
      <w:r>
        <w:rPr>
          <w:rFonts w:asciiTheme="majorBidi" w:hAnsiTheme="majorBidi" w:cs="Simplified Arabic" w:hint="eastAsia"/>
          <w:sz w:val="32"/>
          <w:szCs w:val="32"/>
          <w:rtl/>
          <w:lang w:bidi="ar-DZ"/>
        </w:rPr>
        <w:t>ن</w:t>
      </w:r>
      <w:r>
        <w:rPr>
          <w:rFonts w:asciiTheme="majorBidi" w:hAnsiTheme="majorBidi" w:cs="Simplified Arabic" w:hint="cs"/>
          <w:sz w:val="32"/>
          <w:szCs w:val="32"/>
          <w:rtl/>
          <w:lang w:bidi="ar-DZ"/>
        </w:rPr>
        <w:t xml:space="preserve"> الفرنسيين.</w:t>
      </w:r>
    </w:p>
    <w:p w:rsidR="00485704" w:rsidRDefault="00485704" w:rsidP="00485704">
      <w:pPr>
        <w:bidi/>
        <w:spacing w:after="0" w:line="240" w:lineRule="auto"/>
        <w:jc w:val="both"/>
        <w:rPr>
          <w:rFonts w:asciiTheme="majorBidi" w:hAnsiTheme="majorBidi" w:cs="Simplified Arabic"/>
          <w:sz w:val="32"/>
          <w:szCs w:val="32"/>
          <w:rtl/>
          <w:lang w:bidi="ar-DZ"/>
        </w:rPr>
      </w:pPr>
      <w:r>
        <w:rPr>
          <w:rFonts w:asciiTheme="majorBidi" w:hAnsiTheme="majorBidi" w:cs="Simplified Arabic" w:hint="cs"/>
          <w:sz w:val="32"/>
          <w:szCs w:val="32"/>
          <w:rtl/>
          <w:lang w:bidi="ar-DZ"/>
        </w:rPr>
        <w:t xml:space="preserve">   3-التأثير الفكري: مثلا: انتشار الفكر الفولتيري.</w:t>
      </w:r>
    </w:p>
    <w:p w:rsidR="00485704" w:rsidRDefault="00485704" w:rsidP="00485704">
      <w:pPr>
        <w:bidi/>
        <w:spacing w:after="0" w:line="240" w:lineRule="auto"/>
        <w:jc w:val="both"/>
        <w:rPr>
          <w:rFonts w:asciiTheme="majorBidi" w:hAnsiTheme="majorBidi" w:cs="Simplified Arabic"/>
          <w:sz w:val="32"/>
          <w:szCs w:val="32"/>
          <w:rtl/>
          <w:lang w:bidi="ar-DZ"/>
        </w:rPr>
      </w:pPr>
      <w:r>
        <w:rPr>
          <w:rFonts w:asciiTheme="majorBidi" w:hAnsiTheme="majorBidi" w:cs="Simplified Arabic" w:hint="cs"/>
          <w:sz w:val="32"/>
          <w:szCs w:val="32"/>
          <w:rtl/>
          <w:lang w:bidi="ar-DZ"/>
        </w:rPr>
        <w:t xml:space="preserve">   4-التأثير في المواضيع والأطر: مثل استعارة المواضيع من المسرح الإسباني إلى المسرح الفرنسي في القرن السابع عشر.</w:t>
      </w:r>
    </w:p>
    <w:p w:rsidR="00485704" w:rsidRDefault="00485704" w:rsidP="00485704">
      <w:pPr>
        <w:bidi/>
        <w:spacing w:after="0" w:line="240" w:lineRule="auto"/>
        <w:jc w:val="both"/>
        <w:rPr>
          <w:rFonts w:asciiTheme="majorBidi" w:hAnsiTheme="majorBidi" w:cs="Simplified Arabic"/>
          <w:sz w:val="32"/>
          <w:szCs w:val="32"/>
          <w:rtl/>
          <w:lang w:bidi="ar-DZ"/>
        </w:rPr>
      </w:pPr>
      <w:r>
        <w:rPr>
          <w:rFonts w:asciiTheme="majorBidi" w:hAnsiTheme="majorBidi" w:cs="Simplified Arabic" w:hint="cs"/>
          <w:sz w:val="32"/>
          <w:szCs w:val="32"/>
          <w:rtl/>
          <w:lang w:bidi="ar-DZ"/>
        </w:rPr>
        <w:lastRenderedPageBreak/>
        <w:t xml:space="preserve">    وإذا كان تصنيف دراسة التأثير يتوقف على طبيعة الشيء المنقول أو نوعه، فعلينا أن نأخذ في الحسبان الجوانب الخمسة للعمل الأدبي التي تقبل الانتقال، وهي </w:t>
      </w:r>
      <w:r w:rsidRPr="00AC6E71">
        <w:rPr>
          <w:rFonts w:asciiTheme="majorBidi" w:hAnsiTheme="majorBidi" w:cs="Simplified Arabic" w:hint="cs"/>
          <w:sz w:val="32"/>
          <w:szCs w:val="32"/>
          <w:vertAlign w:val="superscript"/>
          <w:rtl/>
          <w:lang w:bidi="ar-DZ"/>
        </w:rPr>
        <w:t>(</w:t>
      </w:r>
      <w:r w:rsidRPr="00002AE4">
        <w:rPr>
          <w:rStyle w:val="Appelnotedebasdep"/>
          <w:rFonts w:asciiTheme="majorBidi" w:hAnsiTheme="majorBidi" w:cs="Simplified Arabic"/>
          <w:sz w:val="32"/>
          <w:szCs w:val="32"/>
          <w:rtl/>
          <w:lang w:bidi="ar-DZ"/>
        </w:rPr>
        <w:footnoteReference w:id="12"/>
      </w:r>
      <w:r w:rsidRPr="00AC6E71">
        <w:rPr>
          <w:rFonts w:asciiTheme="majorBidi" w:hAnsiTheme="majorBidi" w:cs="Simplified Arabic" w:hint="cs"/>
          <w:sz w:val="32"/>
          <w:szCs w:val="32"/>
          <w:vertAlign w:val="superscript"/>
          <w:rtl/>
          <w:lang w:bidi="ar-DZ"/>
        </w:rPr>
        <w:t xml:space="preserve">)  </w:t>
      </w:r>
      <w:r>
        <w:rPr>
          <w:rFonts w:asciiTheme="majorBidi" w:hAnsiTheme="majorBidi" w:cs="Simplified Arabic" w:hint="cs"/>
          <w:sz w:val="32"/>
          <w:szCs w:val="32"/>
          <w:rtl/>
          <w:lang w:bidi="ar-DZ"/>
        </w:rPr>
        <w:t>:</w:t>
      </w:r>
    </w:p>
    <w:p w:rsidR="00485704" w:rsidRDefault="00485704" w:rsidP="00485704">
      <w:pPr>
        <w:bidi/>
        <w:spacing w:after="0" w:line="240" w:lineRule="auto"/>
        <w:jc w:val="both"/>
        <w:rPr>
          <w:rFonts w:asciiTheme="majorBidi" w:hAnsiTheme="majorBidi" w:cs="Simplified Arabic"/>
          <w:sz w:val="32"/>
          <w:szCs w:val="32"/>
          <w:rtl/>
          <w:lang w:bidi="ar-DZ"/>
        </w:rPr>
      </w:pPr>
      <w:r>
        <w:rPr>
          <w:rFonts w:asciiTheme="majorBidi" w:hAnsiTheme="majorBidi" w:cs="Simplified Arabic" w:hint="cs"/>
          <w:sz w:val="32"/>
          <w:szCs w:val="32"/>
          <w:rtl/>
          <w:lang w:bidi="ar-DZ"/>
        </w:rPr>
        <w:t xml:space="preserve">   1-</w:t>
      </w:r>
      <w:r w:rsidRPr="00C640B7">
        <w:rPr>
          <w:rFonts w:asciiTheme="majorBidi" w:hAnsiTheme="majorBidi" w:cs="Simplified Arabic" w:hint="cs"/>
          <w:b/>
          <w:bCs/>
          <w:sz w:val="32"/>
          <w:szCs w:val="32"/>
          <w:rtl/>
          <w:lang w:bidi="ar-DZ"/>
        </w:rPr>
        <w:t>الموضوع</w:t>
      </w:r>
      <w:r>
        <w:rPr>
          <w:rFonts w:asciiTheme="majorBidi" w:hAnsiTheme="majorBidi" w:cs="Simplified Arabic" w:hint="cs"/>
          <w:sz w:val="32"/>
          <w:szCs w:val="32"/>
          <w:rtl/>
          <w:lang w:bidi="ar-DZ"/>
        </w:rPr>
        <w:t xml:space="preserve"> بوصفه مادة العمل الأدبي، ببنائه وتفصيلاته، وعوارضه وأحداثه، وشخصياته وملامحه.</w:t>
      </w:r>
    </w:p>
    <w:p w:rsidR="00485704" w:rsidRDefault="00485704" w:rsidP="00485704">
      <w:pPr>
        <w:bidi/>
        <w:spacing w:after="0" w:line="240" w:lineRule="auto"/>
        <w:jc w:val="both"/>
        <w:rPr>
          <w:rFonts w:asciiTheme="majorBidi" w:hAnsiTheme="majorBidi" w:cs="Simplified Arabic"/>
          <w:sz w:val="32"/>
          <w:szCs w:val="32"/>
          <w:rtl/>
          <w:lang w:bidi="ar-DZ"/>
        </w:rPr>
      </w:pPr>
      <w:r>
        <w:rPr>
          <w:rFonts w:asciiTheme="majorBidi" w:hAnsiTheme="majorBidi" w:cs="Simplified Arabic" w:hint="cs"/>
          <w:sz w:val="32"/>
          <w:szCs w:val="32"/>
          <w:rtl/>
          <w:lang w:bidi="ar-DZ"/>
        </w:rPr>
        <w:t xml:space="preserve">   2-</w:t>
      </w:r>
      <w:r w:rsidRPr="00C640B7">
        <w:rPr>
          <w:rFonts w:asciiTheme="majorBidi" w:hAnsiTheme="majorBidi" w:cs="Simplified Arabic" w:hint="cs"/>
          <w:b/>
          <w:bCs/>
          <w:sz w:val="32"/>
          <w:szCs w:val="32"/>
          <w:rtl/>
          <w:lang w:bidi="ar-DZ"/>
        </w:rPr>
        <w:t>الشكل</w:t>
      </w:r>
      <w:r>
        <w:rPr>
          <w:rFonts w:asciiTheme="majorBidi" w:hAnsiTheme="majorBidi" w:cs="Simplified Arabic" w:hint="cs"/>
          <w:sz w:val="32"/>
          <w:szCs w:val="32"/>
          <w:rtl/>
          <w:lang w:bidi="ar-DZ"/>
        </w:rPr>
        <w:t>: أو النموذج الأدبي، أي النوع الذي ينتمي إليه العمل المؤثر، وليس من الضروري أن يكون هو نفسه في العمل المتأثر.</w:t>
      </w:r>
    </w:p>
    <w:p w:rsidR="00485704" w:rsidRDefault="00485704" w:rsidP="00485704">
      <w:pPr>
        <w:bidi/>
        <w:spacing w:after="0" w:line="240" w:lineRule="auto"/>
        <w:jc w:val="both"/>
        <w:rPr>
          <w:rFonts w:asciiTheme="majorBidi" w:hAnsiTheme="majorBidi" w:cs="Simplified Arabic"/>
          <w:sz w:val="32"/>
          <w:szCs w:val="32"/>
          <w:rtl/>
          <w:lang w:bidi="ar-DZ"/>
        </w:rPr>
      </w:pPr>
      <w:r>
        <w:rPr>
          <w:rFonts w:asciiTheme="majorBidi" w:hAnsiTheme="majorBidi" w:cs="Simplified Arabic" w:hint="cs"/>
          <w:sz w:val="32"/>
          <w:szCs w:val="32"/>
          <w:rtl/>
          <w:lang w:bidi="ar-DZ"/>
        </w:rPr>
        <w:t xml:space="preserve">   3-</w:t>
      </w:r>
      <w:r w:rsidRPr="003C1314">
        <w:rPr>
          <w:rFonts w:asciiTheme="majorBidi" w:hAnsiTheme="majorBidi" w:cs="Simplified Arabic" w:hint="cs"/>
          <w:b/>
          <w:bCs/>
          <w:sz w:val="32"/>
          <w:szCs w:val="32"/>
          <w:rtl/>
          <w:lang w:bidi="ar-DZ"/>
        </w:rPr>
        <w:t>التعبير</w:t>
      </w:r>
      <w:r>
        <w:rPr>
          <w:rFonts w:asciiTheme="majorBidi" w:hAnsiTheme="majorBidi" w:cs="Simplified Arabic" w:hint="cs"/>
          <w:sz w:val="32"/>
          <w:szCs w:val="32"/>
          <w:rtl/>
          <w:lang w:bidi="ar-DZ"/>
        </w:rPr>
        <w:t>، ومصادر الأسلوب والصور الأدبية، وباختصار الثوب الأدبي الذي اكتساه العمل، ويعتبر أكثر ذاتية، وأقل تشابها مع العمل المؤثر.</w:t>
      </w:r>
    </w:p>
    <w:p w:rsidR="00485704" w:rsidRDefault="00485704" w:rsidP="00485704">
      <w:pPr>
        <w:bidi/>
        <w:spacing w:after="0" w:line="240" w:lineRule="auto"/>
        <w:jc w:val="both"/>
        <w:rPr>
          <w:rFonts w:asciiTheme="majorBidi" w:hAnsiTheme="majorBidi" w:cs="Simplified Arabic"/>
          <w:sz w:val="32"/>
          <w:szCs w:val="32"/>
          <w:rtl/>
          <w:lang w:bidi="ar-DZ"/>
        </w:rPr>
      </w:pPr>
      <w:r>
        <w:rPr>
          <w:rFonts w:asciiTheme="majorBidi" w:hAnsiTheme="majorBidi" w:cs="Simplified Arabic" w:hint="cs"/>
          <w:sz w:val="32"/>
          <w:szCs w:val="32"/>
          <w:rtl/>
          <w:lang w:bidi="ar-DZ"/>
        </w:rPr>
        <w:t xml:space="preserve">   4-</w:t>
      </w:r>
      <w:r w:rsidRPr="00C640B7">
        <w:rPr>
          <w:rFonts w:asciiTheme="majorBidi" w:hAnsiTheme="majorBidi" w:cs="Simplified Arabic" w:hint="cs"/>
          <w:b/>
          <w:bCs/>
          <w:sz w:val="32"/>
          <w:szCs w:val="32"/>
          <w:rtl/>
          <w:lang w:bidi="ar-DZ"/>
        </w:rPr>
        <w:t>الأفكار</w:t>
      </w:r>
      <w:r>
        <w:rPr>
          <w:rFonts w:asciiTheme="majorBidi" w:hAnsiTheme="majorBidi" w:cs="Simplified Arabic" w:hint="cs"/>
          <w:sz w:val="32"/>
          <w:szCs w:val="32"/>
          <w:rtl/>
          <w:lang w:bidi="ar-DZ"/>
        </w:rPr>
        <w:t xml:space="preserve"> </w:t>
      </w:r>
      <w:r w:rsidRPr="00C640B7">
        <w:rPr>
          <w:rFonts w:asciiTheme="majorBidi" w:hAnsiTheme="majorBidi" w:cs="Simplified Arabic" w:hint="cs"/>
          <w:b/>
          <w:bCs/>
          <w:sz w:val="32"/>
          <w:szCs w:val="32"/>
          <w:rtl/>
          <w:lang w:bidi="ar-DZ"/>
        </w:rPr>
        <w:t>والمشاعر</w:t>
      </w:r>
      <w:r>
        <w:rPr>
          <w:rFonts w:asciiTheme="majorBidi" w:hAnsiTheme="majorBidi" w:cs="Simplified Arabic" w:hint="cs"/>
          <w:sz w:val="32"/>
          <w:szCs w:val="32"/>
          <w:rtl/>
          <w:lang w:bidi="ar-DZ"/>
        </w:rPr>
        <w:t>: وتشمل الإضافات الفكرية من أي لون.</w:t>
      </w:r>
    </w:p>
    <w:p w:rsidR="00485704" w:rsidRDefault="00485704" w:rsidP="00485704">
      <w:pPr>
        <w:bidi/>
        <w:spacing w:after="0" w:line="240" w:lineRule="auto"/>
        <w:jc w:val="both"/>
        <w:rPr>
          <w:rFonts w:asciiTheme="majorBidi" w:hAnsiTheme="majorBidi" w:cs="Simplified Arabic"/>
          <w:sz w:val="32"/>
          <w:szCs w:val="32"/>
          <w:rtl/>
          <w:lang w:bidi="ar-DZ"/>
        </w:rPr>
      </w:pPr>
      <w:r>
        <w:rPr>
          <w:rFonts w:asciiTheme="majorBidi" w:hAnsiTheme="majorBidi" w:cs="Simplified Arabic" w:hint="cs"/>
          <w:sz w:val="32"/>
          <w:szCs w:val="32"/>
          <w:rtl/>
          <w:lang w:bidi="ar-DZ"/>
        </w:rPr>
        <w:t xml:space="preserve">   5-</w:t>
      </w:r>
      <w:r w:rsidRPr="000114EB">
        <w:rPr>
          <w:rFonts w:asciiTheme="majorBidi" w:hAnsiTheme="majorBidi" w:cs="Simplified Arabic" w:hint="cs"/>
          <w:b/>
          <w:bCs/>
          <w:sz w:val="32"/>
          <w:szCs w:val="32"/>
          <w:rtl/>
          <w:lang w:bidi="ar-DZ"/>
        </w:rPr>
        <w:t>الشهرة</w:t>
      </w:r>
      <w:r>
        <w:rPr>
          <w:rFonts w:asciiTheme="majorBidi" w:hAnsiTheme="majorBidi" w:cs="Simplified Arabic" w:hint="cs"/>
          <w:sz w:val="32"/>
          <w:szCs w:val="32"/>
          <w:rtl/>
          <w:lang w:bidi="ar-DZ"/>
        </w:rPr>
        <w:t xml:space="preserve"> </w:t>
      </w:r>
      <w:r w:rsidRPr="000114EB">
        <w:rPr>
          <w:rFonts w:asciiTheme="majorBidi" w:hAnsiTheme="majorBidi" w:cs="Simplified Arabic" w:hint="cs"/>
          <w:b/>
          <w:bCs/>
          <w:sz w:val="32"/>
          <w:szCs w:val="32"/>
          <w:rtl/>
          <w:lang w:bidi="ar-DZ"/>
        </w:rPr>
        <w:t>الواسعة</w:t>
      </w:r>
      <w:r>
        <w:rPr>
          <w:rFonts w:asciiTheme="majorBidi" w:hAnsiTheme="majorBidi" w:cs="Simplified Arabic" w:hint="cs"/>
          <w:sz w:val="32"/>
          <w:szCs w:val="32"/>
          <w:rtl/>
          <w:lang w:bidi="ar-DZ"/>
        </w:rPr>
        <w:t>، والنغم المميز، الذي لا يخطئ لشخصية الكتاب العظام الفنية.</w:t>
      </w:r>
    </w:p>
    <w:p w:rsidR="00485704" w:rsidRDefault="00485704" w:rsidP="00485704">
      <w:pPr>
        <w:bidi/>
        <w:spacing w:after="0" w:line="240" w:lineRule="auto"/>
        <w:jc w:val="both"/>
        <w:rPr>
          <w:rFonts w:asciiTheme="majorBidi" w:hAnsiTheme="majorBidi" w:cs="Simplified Arabic"/>
          <w:sz w:val="32"/>
          <w:szCs w:val="32"/>
          <w:rtl/>
          <w:lang w:bidi="ar-DZ"/>
        </w:rPr>
      </w:pPr>
      <w:r>
        <w:rPr>
          <w:rFonts w:asciiTheme="majorBidi" w:hAnsiTheme="majorBidi" w:cs="Simplified Arabic" w:hint="cs"/>
          <w:sz w:val="32"/>
          <w:szCs w:val="32"/>
          <w:rtl/>
          <w:lang w:bidi="ar-DZ"/>
        </w:rPr>
        <w:t xml:space="preserve">   وليس من الضروري أن نلتقي بهذه العناصر كلها، في العمل المتلقى دفعة واحدة، وإذا نوى باحث أن يقع عليها كذلك، وهو شيء من الصعب تخيله، فيمكن القول سلفا بأننا بصدد ترجمة وليس تأثيرا، لأن التأثير يقتصر في معظم الحالات عل جانب منها أو اثنتين، كأن يفتن المؤلف بجانب واحد من العمل الذي يحتذيه، كبناء عقدة القصة، أو بالجديد في الأسلوب، ويشغل بذلك عن أفكاره أو النظرة الكلية إليه، وطبعا يتفاوت التطبيق بتفاوت القضايا، وعلينا أن نأخذ دائما في الحسبان، وقبل أن نبدأ العمل، أن تعدد المقاييس يؤدي بالضروري إلى نتائج محددة </w:t>
      </w:r>
      <w:r w:rsidRPr="00AC6E71">
        <w:rPr>
          <w:rFonts w:asciiTheme="majorBidi" w:hAnsiTheme="majorBidi" w:cs="Simplified Arabic" w:hint="cs"/>
          <w:sz w:val="32"/>
          <w:szCs w:val="32"/>
          <w:vertAlign w:val="superscript"/>
          <w:rtl/>
          <w:lang w:bidi="ar-DZ"/>
        </w:rPr>
        <w:t>(</w:t>
      </w:r>
      <w:r w:rsidRPr="00002AE4">
        <w:rPr>
          <w:rStyle w:val="Appelnotedebasdep"/>
          <w:rFonts w:asciiTheme="majorBidi" w:hAnsiTheme="majorBidi" w:cs="Simplified Arabic"/>
          <w:sz w:val="32"/>
          <w:szCs w:val="32"/>
          <w:rtl/>
          <w:lang w:bidi="ar-DZ"/>
        </w:rPr>
        <w:footnoteReference w:id="13"/>
      </w:r>
      <w:r w:rsidRPr="00AC6E71">
        <w:rPr>
          <w:rFonts w:asciiTheme="majorBidi" w:hAnsiTheme="majorBidi" w:cs="Simplified Arabic" w:hint="cs"/>
          <w:sz w:val="32"/>
          <w:szCs w:val="32"/>
          <w:vertAlign w:val="superscript"/>
          <w:rtl/>
          <w:lang w:bidi="ar-DZ"/>
        </w:rPr>
        <w:t xml:space="preserve">)  </w:t>
      </w:r>
      <w:r>
        <w:rPr>
          <w:rFonts w:asciiTheme="majorBidi" w:hAnsiTheme="majorBidi" w:cs="Simplified Arabic" w:hint="cs"/>
          <w:sz w:val="32"/>
          <w:szCs w:val="32"/>
          <w:rtl/>
          <w:lang w:bidi="ar-DZ"/>
        </w:rPr>
        <w:t>.</w:t>
      </w:r>
    </w:p>
    <w:p w:rsidR="00485704" w:rsidRDefault="00485704" w:rsidP="00485704">
      <w:pPr>
        <w:bidi/>
        <w:spacing w:after="0" w:line="240" w:lineRule="auto"/>
        <w:jc w:val="both"/>
        <w:rPr>
          <w:rFonts w:asciiTheme="majorBidi" w:hAnsiTheme="majorBidi" w:cs="Simplified Arabic"/>
          <w:sz w:val="32"/>
          <w:szCs w:val="32"/>
          <w:rtl/>
          <w:lang w:bidi="ar-DZ"/>
        </w:rPr>
      </w:pPr>
      <w:r>
        <w:rPr>
          <w:rFonts w:asciiTheme="majorBidi" w:hAnsiTheme="majorBidi" w:cs="Simplified Arabic" w:hint="cs"/>
          <w:sz w:val="32"/>
          <w:szCs w:val="32"/>
          <w:rtl/>
          <w:lang w:bidi="ar-DZ"/>
        </w:rPr>
        <w:t xml:space="preserve">    ومما سبق، يتبين أن دراسة التأثير والتأثر عمل دقيق يقتضي جهودا جبارة، وله قواعده الخاصة التي ينبغي مراعاتها، وهي</w:t>
      </w:r>
      <w:r w:rsidRPr="00AC6E71">
        <w:rPr>
          <w:rFonts w:asciiTheme="majorBidi" w:hAnsiTheme="majorBidi" w:cs="Simplified Arabic" w:hint="cs"/>
          <w:sz w:val="32"/>
          <w:szCs w:val="32"/>
          <w:vertAlign w:val="superscript"/>
          <w:rtl/>
          <w:lang w:bidi="ar-DZ"/>
        </w:rPr>
        <w:t>(</w:t>
      </w:r>
      <w:r w:rsidRPr="00002AE4">
        <w:rPr>
          <w:rStyle w:val="Appelnotedebasdep"/>
          <w:rFonts w:asciiTheme="majorBidi" w:hAnsiTheme="majorBidi" w:cs="Simplified Arabic"/>
          <w:sz w:val="32"/>
          <w:szCs w:val="32"/>
          <w:rtl/>
          <w:lang w:bidi="ar-DZ"/>
        </w:rPr>
        <w:footnoteReference w:id="14"/>
      </w:r>
      <w:r w:rsidRPr="00AC6E71">
        <w:rPr>
          <w:rFonts w:asciiTheme="majorBidi" w:hAnsiTheme="majorBidi" w:cs="Simplified Arabic" w:hint="cs"/>
          <w:sz w:val="32"/>
          <w:szCs w:val="32"/>
          <w:vertAlign w:val="superscript"/>
          <w:rtl/>
          <w:lang w:bidi="ar-DZ"/>
        </w:rPr>
        <w:t xml:space="preserve">) </w:t>
      </w:r>
      <w:r>
        <w:rPr>
          <w:rFonts w:asciiTheme="majorBidi" w:hAnsiTheme="majorBidi" w:cs="Simplified Arabic" w:hint="cs"/>
          <w:sz w:val="32"/>
          <w:szCs w:val="32"/>
          <w:vertAlign w:val="superscript"/>
          <w:rtl/>
          <w:lang w:bidi="ar-DZ"/>
        </w:rPr>
        <w:t xml:space="preserve"> </w:t>
      </w:r>
      <w:r>
        <w:rPr>
          <w:rFonts w:asciiTheme="majorBidi" w:hAnsiTheme="majorBidi" w:cs="Simplified Arabic" w:hint="cs"/>
          <w:sz w:val="32"/>
          <w:szCs w:val="32"/>
          <w:rtl/>
          <w:lang w:bidi="ar-DZ"/>
        </w:rPr>
        <w:t>:</w:t>
      </w:r>
    </w:p>
    <w:p w:rsidR="00485704" w:rsidRDefault="00485704" w:rsidP="00485704">
      <w:pPr>
        <w:bidi/>
        <w:spacing w:after="0" w:line="240" w:lineRule="auto"/>
        <w:jc w:val="both"/>
        <w:rPr>
          <w:rFonts w:asciiTheme="majorBidi" w:hAnsiTheme="majorBidi" w:cs="Simplified Arabic"/>
          <w:sz w:val="32"/>
          <w:szCs w:val="32"/>
          <w:rtl/>
          <w:lang w:bidi="ar-DZ"/>
        </w:rPr>
      </w:pPr>
      <w:r>
        <w:rPr>
          <w:rFonts w:asciiTheme="majorBidi" w:hAnsiTheme="majorBidi" w:cs="Simplified Arabic" w:hint="cs"/>
          <w:sz w:val="32"/>
          <w:szCs w:val="32"/>
          <w:rtl/>
          <w:lang w:bidi="ar-DZ"/>
        </w:rPr>
        <w:t xml:space="preserve">   -الحذر قبل الجزم بوجود تأثير وتأثر.</w:t>
      </w:r>
    </w:p>
    <w:p w:rsidR="00485704" w:rsidRDefault="00485704" w:rsidP="00485704">
      <w:pPr>
        <w:bidi/>
        <w:spacing w:after="0" w:line="240" w:lineRule="auto"/>
        <w:jc w:val="both"/>
        <w:rPr>
          <w:rFonts w:asciiTheme="majorBidi" w:hAnsiTheme="majorBidi" w:cs="Simplified Arabic"/>
          <w:sz w:val="32"/>
          <w:szCs w:val="32"/>
          <w:rtl/>
          <w:lang w:bidi="ar-DZ"/>
        </w:rPr>
      </w:pPr>
      <w:r>
        <w:rPr>
          <w:rFonts w:asciiTheme="majorBidi" w:hAnsiTheme="majorBidi" w:cs="Simplified Arabic" w:hint="cs"/>
          <w:sz w:val="32"/>
          <w:szCs w:val="32"/>
          <w:rtl/>
          <w:lang w:bidi="ar-DZ"/>
        </w:rPr>
        <w:t xml:space="preserve">   -اختيار أدباء يمثلون خصائص أدب قومي، ثم التعرف على مدى تأثرهم بأدب أجنبي وتأثيرهم فيه.</w:t>
      </w:r>
    </w:p>
    <w:p w:rsidR="00485704" w:rsidRDefault="00485704" w:rsidP="00485704">
      <w:pPr>
        <w:bidi/>
        <w:spacing w:after="0" w:line="240" w:lineRule="auto"/>
        <w:jc w:val="both"/>
        <w:rPr>
          <w:rFonts w:asciiTheme="majorBidi" w:hAnsiTheme="majorBidi" w:cs="Simplified Arabic"/>
          <w:sz w:val="32"/>
          <w:szCs w:val="32"/>
          <w:rtl/>
          <w:lang w:bidi="ar-DZ"/>
        </w:rPr>
      </w:pPr>
      <w:r>
        <w:rPr>
          <w:rFonts w:asciiTheme="majorBidi" w:hAnsiTheme="majorBidi" w:cs="Simplified Arabic" w:hint="cs"/>
          <w:sz w:val="32"/>
          <w:szCs w:val="32"/>
          <w:rtl/>
          <w:lang w:bidi="ar-DZ"/>
        </w:rPr>
        <w:lastRenderedPageBreak/>
        <w:t xml:space="preserve">   -الابتعاد عن العموميات، من مثل قولهم: يمثل شكسبير العبقرية الإنجليزي</w:t>
      </w:r>
      <w:r>
        <w:rPr>
          <w:rFonts w:asciiTheme="majorBidi" w:hAnsiTheme="majorBidi" w:cs="Simplified Arabic" w:hint="eastAsia"/>
          <w:sz w:val="32"/>
          <w:szCs w:val="32"/>
          <w:rtl/>
          <w:lang w:bidi="ar-DZ"/>
        </w:rPr>
        <w:t>ة</w:t>
      </w:r>
      <w:r>
        <w:rPr>
          <w:rFonts w:asciiTheme="majorBidi" w:hAnsiTheme="majorBidi" w:cs="Simplified Arabic" w:hint="cs"/>
          <w:sz w:val="32"/>
          <w:szCs w:val="32"/>
          <w:rtl/>
          <w:lang w:bidi="ar-DZ"/>
        </w:rPr>
        <w:t>، غوته من نتاج الروح الألمانية...وغيرها.</w:t>
      </w:r>
    </w:p>
    <w:p w:rsidR="00485704" w:rsidRDefault="00485704" w:rsidP="00485704">
      <w:pPr>
        <w:bidi/>
        <w:spacing w:after="0" w:line="240" w:lineRule="auto"/>
        <w:jc w:val="both"/>
        <w:rPr>
          <w:rFonts w:asciiTheme="majorBidi" w:hAnsiTheme="majorBidi" w:cs="Simplified Arabic"/>
          <w:sz w:val="32"/>
          <w:szCs w:val="32"/>
          <w:rtl/>
          <w:lang w:bidi="ar-DZ"/>
        </w:rPr>
      </w:pPr>
      <w:r>
        <w:rPr>
          <w:rFonts w:asciiTheme="majorBidi" w:hAnsiTheme="majorBidi" w:cs="Simplified Arabic" w:hint="cs"/>
          <w:sz w:val="32"/>
          <w:szCs w:val="32"/>
          <w:rtl/>
          <w:lang w:bidi="ar-DZ"/>
        </w:rPr>
        <w:t xml:space="preserve">   -التقيد بقواعد الزمان.</w:t>
      </w:r>
    </w:p>
    <w:p w:rsidR="00485704" w:rsidRDefault="00485704" w:rsidP="00485704">
      <w:pPr>
        <w:bidi/>
        <w:spacing w:after="0" w:line="240" w:lineRule="auto"/>
        <w:jc w:val="both"/>
        <w:rPr>
          <w:rFonts w:asciiTheme="majorBidi" w:hAnsiTheme="majorBidi" w:cs="Simplified Arabic"/>
          <w:sz w:val="32"/>
          <w:szCs w:val="32"/>
          <w:rtl/>
          <w:lang w:bidi="ar-DZ"/>
        </w:rPr>
      </w:pPr>
      <w:r>
        <w:rPr>
          <w:rFonts w:asciiTheme="majorBidi" w:hAnsiTheme="majorBidi" w:cs="Simplified Arabic" w:hint="cs"/>
          <w:sz w:val="32"/>
          <w:szCs w:val="32"/>
          <w:rtl/>
          <w:lang w:bidi="ar-DZ"/>
        </w:rPr>
        <w:t xml:space="preserve">   من هنا، كان هذا النوع من الأدب المقارن هو أكثر فروعه انتشارا لدى الباحثين من الفرنسيين، وذلك لوضوح منهج البحث فيه، وللوثوق من الوصول إلى نتائج تتناسب وما يبذله الباحث من جهد، وهو يتطلب مع ذلك سعة اطلاع ودقة في التحليل، وصبرا في الباحث، وذكاء في فهم النصوص، كما يتبين ذلك من معرفة الأسس الآتية التي يجب اتباعها فيه، وهي</w:t>
      </w:r>
      <w:r w:rsidRPr="00AC6E71">
        <w:rPr>
          <w:rFonts w:asciiTheme="majorBidi" w:hAnsiTheme="majorBidi" w:cs="Simplified Arabic" w:hint="cs"/>
          <w:sz w:val="32"/>
          <w:szCs w:val="32"/>
          <w:vertAlign w:val="superscript"/>
          <w:rtl/>
          <w:lang w:bidi="ar-DZ"/>
        </w:rPr>
        <w:t>(</w:t>
      </w:r>
      <w:r w:rsidRPr="00002AE4">
        <w:rPr>
          <w:rStyle w:val="Appelnotedebasdep"/>
          <w:rFonts w:asciiTheme="majorBidi" w:hAnsiTheme="majorBidi" w:cs="Simplified Arabic"/>
          <w:sz w:val="32"/>
          <w:szCs w:val="32"/>
          <w:rtl/>
          <w:lang w:bidi="ar-DZ"/>
        </w:rPr>
        <w:footnoteReference w:id="15"/>
      </w:r>
      <w:r w:rsidRPr="00AC6E71">
        <w:rPr>
          <w:rFonts w:asciiTheme="majorBidi" w:hAnsiTheme="majorBidi" w:cs="Simplified Arabic" w:hint="cs"/>
          <w:sz w:val="32"/>
          <w:szCs w:val="32"/>
          <w:vertAlign w:val="superscript"/>
          <w:rtl/>
          <w:lang w:bidi="ar-DZ"/>
        </w:rPr>
        <w:t xml:space="preserve">)  </w:t>
      </w:r>
      <w:r>
        <w:rPr>
          <w:rFonts w:asciiTheme="majorBidi" w:hAnsiTheme="majorBidi" w:cs="Simplified Arabic" w:hint="cs"/>
          <w:sz w:val="32"/>
          <w:szCs w:val="32"/>
          <w:rtl/>
          <w:lang w:bidi="ar-DZ"/>
        </w:rPr>
        <w:t>:</w:t>
      </w:r>
    </w:p>
    <w:p w:rsidR="00485704" w:rsidRDefault="00485704" w:rsidP="00485704">
      <w:pPr>
        <w:bidi/>
        <w:spacing w:after="0" w:line="240" w:lineRule="auto"/>
        <w:jc w:val="both"/>
        <w:rPr>
          <w:rFonts w:asciiTheme="majorBidi" w:hAnsiTheme="majorBidi" w:cs="Simplified Arabic"/>
          <w:sz w:val="32"/>
          <w:szCs w:val="32"/>
          <w:rtl/>
          <w:lang w:bidi="ar-DZ"/>
        </w:rPr>
      </w:pPr>
      <w:r>
        <w:rPr>
          <w:rFonts w:asciiTheme="majorBidi" w:hAnsiTheme="majorBidi" w:cs="Simplified Arabic" w:hint="cs"/>
          <w:sz w:val="32"/>
          <w:szCs w:val="32"/>
          <w:rtl/>
          <w:lang w:bidi="ar-DZ"/>
        </w:rPr>
        <w:t xml:space="preserve">   1-يجب تحديد نقطة البدء في التأثير من مؤلفات كاتب ما أو كتاب واحد من بينها، أو من شخصية ذلك الكاتب بوصفه وحدة لا تتجزأ مع مؤلفاته.</w:t>
      </w:r>
    </w:p>
    <w:p w:rsidR="00485704" w:rsidRPr="00C75E5D" w:rsidRDefault="00485704" w:rsidP="00485704">
      <w:pPr>
        <w:bidi/>
        <w:spacing w:after="0" w:line="240" w:lineRule="auto"/>
        <w:jc w:val="both"/>
        <w:rPr>
          <w:rFonts w:asciiTheme="majorBidi" w:hAnsiTheme="majorBidi" w:cs="Simplified Arabic"/>
          <w:sz w:val="32"/>
          <w:szCs w:val="32"/>
          <w:rtl/>
          <w:lang w:bidi="ar-DZ"/>
        </w:rPr>
      </w:pPr>
      <w:r>
        <w:rPr>
          <w:rFonts w:asciiTheme="majorBidi" w:hAnsiTheme="majorBidi" w:cs="Simplified Arabic" w:hint="cs"/>
          <w:sz w:val="32"/>
          <w:szCs w:val="32"/>
          <w:rtl/>
          <w:lang w:bidi="ar-DZ"/>
        </w:rPr>
        <w:t xml:space="preserve">   2-يجب تحديد الوسط المتأثر، بلدا كان أم مؤلفا، مثال ذلك: تأثير الكاتب الفرنسي</w:t>
      </w:r>
      <w:r w:rsidRPr="00D02227">
        <w:rPr>
          <w:rFonts w:asciiTheme="majorBidi" w:hAnsiTheme="majorBidi" w:cs="Simplified Arabic" w:hint="cs"/>
          <w:b/>
          <w:bCs/>
          <w:sz w:val="32"/>
          <w:szCs w:val="32"/>
          <w:rtl/>
          <w:lang w:bidi="ar-DZ"/>
        </w:rPr>
        <w:t>"</w:t>
      </w:r>
      <w:r>
        <w:rPr>
          <w:rFonts w:asciiTheme="majorBidi" w:hAnsiTheme="majorBidi" w:cs="Simplified Arabic" w:hint="cs"/>
          <w:b/>
          <w:bCs/>
          <w:sz w:val="32"/>
          <w:szCs w:val="32"/>
          <w:rtl/>
          <w:lang w:bidi="ar-DZ"/>
        </w:rPr>
        <w:t>ج</w:t>
      </w:r>
      <w:r w:rsidRPr="00D02227">
        <w:rPr>
          <w:rFonts w:asciiTheme="majorBidi" w:hAnsiTheme="majorBidi" w:cs="Simplified Arabic" w:hint="cs"/>
          <w:b/>
          <w:bCs/>
          <w:sz w:val="32"/>
          <w:szCs w:val="32"/>
          <w:rtl/>
          <w:lang w:bidi="ar-DZ"/>
        </w:rPr>
        <w:t>ي</w:t>
      </w:r>
      <w:r>
        <w:rPr>
          <w:rFonts w:asciiTheme="majorBidi" w:hAnsiTheme="majorBidi" w:cs="Simplified Arabic" w:hint="cs"/>
          <w:b/>
          <w:bCs/>
          <w:sz w:val="32"/>
          <w:szCs w:val="32"/>
          <w:rtl/>
          <w:lang w:bidi="ar-DZ"/>
        </w:rPr>
        <w:t xml:space="preserve"> </w:t>
      </w:r>
      <w:r w:rsidRPr="00D02227">
        <w:rPr>
          <w:rFonts w:asciiTheme="majorBidi" w:hAnsiTheme="majorBidi" w:cs="Simplified Arabic" w:hint="cs"/>
          <w:b/>
          <w:bCs/>
          <w:sz w:val="32"/>
          <w:szCs w:val="32"/>
          <w:rtl/>
          <w:lang w:bidi="ar-DZ"/>
        </w:rPr>
        <w:t>دي</w:t>
      </w:r>
      <w:r>
        <w:rPr>
          <w:rFonts w:asciiTheme="majorBidi" w:hAnsiTheme="majorBidi" w:cs="Simplified Arabic" w:hint="cs"/>
          <w:sz w:val="32"/>
          <w:szCs w:val="32"/>
          <w:rtl/>
          <w:lang w:bidi="ar-DZ"/>
        </w:rPr>
        <w:t xml:space="preserve"> </w:t>
      </w:r>
      <w:r w:rsidRPr="00D02227">
        <w:rPr>
          <w:rFonts w:asciiTheme="majorBidi" w:hAnsiTheme="majorBidi" w:cs="Simplified Arabic" w:hint="cs"/>
          <w:b/>
          <w:bCs/>
          <w:sz w:val="32"/>
          <w:szCs w:val="32"/>
          <w:rtl/>
          <w:lang w:bidi="ar-DZ"/>
        </w:rPr>
        <w:t>موباسان"</w:t>
      </w:r>
      <w:r>
        <w:rPr>
          <w:rFonts w:asciiTheme="majorBidi" w:hAnsiTheme="majorBidi" w:cs="Simplified Arabic" w:hint="cs"/>
          <w:b/>
          <w:bCs/>
          <w:sz w:val="32"/>
          <w:szCs w:val="32"/>
          <w:rtl/>
          <w:lang w:bidi="ar-DZ"/>
        </w:rPr>
        <w:t xml:space="preserve"> </w:t>
      </w:r>
      <w:r>
        <w:rPr>
          <w:rFonts w:asciiTheme="majorBidi" w:hAnsiTheme="majorBidi" w:cs="Simplified Arabic" w:hint="cs"/>
          <w:sz w:val="32"/>
          <w:szCs w:val="32"/>
          <w:rtl/>
          <w:lang w:bidi="ar-DZ"/>
        </w:rPr>
        <w:t>في القصة المصرية القصيرة، أو في مؤلفي القصة القصيرة العربية في القرن العشرين، أو في "</w:t>
      </w:r>
      <w:r w:rsidRPr="00C75E5D">
        <w:rPr>
          <w:rFonts w:asciiTheme="majorBidi" w:hAnsiTheme="majorBidi" w:cs="Simplified Arabic" w:hint="cs"/>
          <w:b/>
          <w:bCs/>
          <w:sz w:val="32"/>
          <w:szCs w:val="32"/>
          <w:rtl/>
          <w:lang w:bidi="ar-DZ"/>
        </w:rPr>
        <w:t>تيمور</w:t>
      </w:r>
      <w:r>
        <w:rPr>
          <w:rFonts w:asciiTheme="majorBidi" w:hAnsiTheme="majorBidi" w:cs="Simplified Arabic" w:hint="cs"/>
          <w:sz w:val="32"/>
          <w:szCs w:val="32"/>
          <w:rtl/>
          <w:lang w:bidi="ar-DZ"/>
        </w:rPr>
        <w:t>" فقط.</w:t>
      </w:r>
    </w:p>
    <w:p w:rsidR="00485704" w:rsidRDefault="00485704" w:rsidP="00485704">
      <w:pPr>
        <w:bidi/>
        <w:spacing w:after="0" w:line="240" w:lineRule="auto"/>
        <w:jc w:val="both"/>
        <w:rPr>
          <w:rFonts w:asciiTheme="majorBidi" w:hAnsiTheme="majorBidi" w:cs="Simplified Arabic"/>
          <w:sz w:val="32"/>
          <w:szCs w:val="32"/>
          <w:rtl/>
          <w:lang w:bidi="ar-DZ"/>
        </w:rPr>
      </w:pPr>
      <w:r>
        <w:rPr>
          <w:rFonts w:asciiTheme="majorBidi" w:hAnsiTheme="majorBidi" w:cs="Simplified Arabic" w:hint="cs"/>
          <w:sz w:val="32"/>
          <w:szCs w:val="32"/>
          <w:rtl/>
          <w:lang w:bidi="ar-DZ"/>
        </w:rPr>
        <w:t xml:space="preserve">   3-يجب التمييز بين حظ الكاتب في ذيوعه وانتشار مؤلفاته، وبين حظه في محاكاته والتأثير به، فقد يكون الكاتب ذا حظ عظيم في ذيوع مؤلفاته وترجمتها، ولكنه مع ذلك ذو حظ أقل من جهة محاكاته والتأثر به.</w:t>
      </w:r>
    </w:p>
    <w:p w:rsidR="00485704" w:rsidRDefault="00485704" w:rsidP="00485704">
      <w:pPr>
        <w:bidi/>
        <w:spacing w:after="0" w:line="240" w:lineRule="auto"/>
        <w:jc w:val="both"/>
        <w:rPr>
          <w:rFonts w:asciiTheme="majorBidi" w:hAnsiTheme="majorBidi" w:cs="Simplified Arabic"/>
          <w:sz w:val="32"/>
          <w:szCs w:val="32"/>
          <w:rtl/>
          <w:lang w:bidi="ar-DZ"/>
        </w:rPr>
      </w:pPr>
      <w:r>
        <w:rPr>
          <w:rFonts w:asciiTheme="majorBidi" w:hAnsiTheme="majorBidi" w:cs="Simplified Arabic" w:hint="cs"/>
          <w:sz w:val="32"/>
          <w:szCs w:val="32"/>
          <w:rtl/>
          <w:lang w:bidi="ar-DZ"/>
        </w:rPr>
        <w:t xml:space="preserve">   </w:t>
      </w:r>
      <w:r>
        <w:rPr>
          <w:rFonts w:asciiTheme="majorBidi" w:hAnsiTheme="majorBidi" w:cs="Simplified Arabic" w:hint="cs"/>
          <w:b/>
          <w:bCs/>
          <w:sz w:val="32"/>
          <w:szCs w:val="32"/>
          <w:rtl/>
          <w:lang w:bidi="ar-DZ"/>
        </w:rPr>
        <w:t>-التأثير والتأثر(نقد وناقشة):</w:t>
      </w:r>
    </w:p>
    <w:p w:rsidR="00485704" w:rsidRDefault="00485704" w:rsidP="00485704">
      <w:pPr>
        <w:bidi/>
        <w:spacing w:after="0" w:line="240" w:lineRule="auto"/>
        <w:jc w:val="both"/>
        <w:rPr>
          <w:rFonts w:asciiTheme="majorBidi" w:hAnsiTheme="majorBidi" w:cs="Simplified Arabic"/>
          <w:sz w:val="32"/>
          <w:szCs w:val="32"/>
          <w:rtl/>
          <w:lang w:bidi="ar-DZ"/>
        </w:rPr>
      </w:pPr>
      <w:r>
        <w:rPr>
          <w:rFonts w:asciiTheme="majorBidi" w:hAnsiTheme="majorBidi" w:cs="Simplified Arabic" w:hint="cs"/>
          <w:sz w:val="32"/>
          <w:szCs w:val="32"/>
          <w:rtl/>
          <w:lang w:bidi="ar-DZ"/>
        </w:rPr>
        <w:t xml:space="preserve">   عرض الباحث أحمد شوقي رضوان في كتابه الجليل: مدخل إلى الأدب المقارن، جملة من الانتقادات الموجهة لدراسات التأثير والتأثر، وقد أشار إلى ذلك الهجوم العنيف الذي قاده النقاد الجدد في الولايات المتحدة الأمريكية، كما حاول مناقشة هذه الانتقادات والرد عليها، وسنعرض لهذه المناقشة القيمة للنقد الموجه لقضية التأثير والتأثر عند الباحث على النحو الآتي</w:t>
      </w:r>
      <w:r w:rsidRPr="00AC6E71">
        <w:rPr>
          <w:rFonts w:asciiTheme="majorBidi" w:hAnsiTheme="majorBidi" w:cs="Simplified Arabic" w:hint="cs"/>
          <w:sz w:val="32"/>
          <w:szCs w:val="32"/>
          <w:vertAlign w:val="superscript"/>
          <w:rtl/>
          <w:lang w:bidi="ar-DZ"/>
        </w:rPr>
        <w:t>(</w:t>
      </w:r>
      <w:r w:rsidRPr="00002AE4">
        <w:rPr>
          <w:rStyle w:val="Appelnotedebasdep"/>
          <w:rFonts w:asciiTheme="majorBidi" w:hAnsiTheme="majorBidi" w:cs="Simplified Arabic"/>
          <w:sz w:val="32"/>
          <w:szCs w:val="32"/>
          <w:rtl/>
          <w:lang w:bidi="ar-DZ"/>
        </w:rPr>
        <w:footnoteReference w:id="16"/>
      </w:r>
      <w:r w:rsidRPr="00AC6E71">
        <w:rPr>
          <w:rFonts w:asciiTheme="majorBidi" w:hAnsiTheme="majorBidi" w:cs="Simplified Arabic" w:hint="cs"/>
          <w:sz w:val="32"/>
          <w:szCs w:val="32"/>
          <w:vertAlign w:val="superscript"/>
          <w:rtl/>
          <w:lang w:bidi="ar-DZ"/>
        </w:rPr>
        <w:t xml:space="preserve">) </w:t>
      </w:r>
      <w:r>
        <w:rPr>
          <w:rFonts w:asciiTheme="majorBidi" w:hAnsiTheme="majorBidi" w:cs="Simplified Arabic" w:hint="cs"/>
          <w:sz w:val="32"/>
          <w:szCs w:val="32"/>
          <w:vertAlign w:val="superscript"/>
          <w:rtl/>
          <w:lang w:bidi="ar-DZ"/>
        </w:rPr>
        <w:t xml:space="preserve"> </w:t>
      </w:r>
      <w:r>
        <w:rPr>
          <w:rFonts w:asciiTheme="majorBidi" w:hAnsiTheme="majorBidi" w:cs="Simplified Arabic" w:hint="cs"/>
          <w:sz w:val="32"/>
          <w:szCs w:val="32"/>
          <w:rtl/>
          <w:lang w:bidi="ar-DZ"/>
        </w:rPr>
        <w:t>:</w:t>
      </w:r>
    </w:p>
    <w:p w:rsidR="00485704" w:rsidRDefault="00485704" w:rsidP="00485704">
      <w:pPr>
        <w:pStyle w:val="Paragraphedeliste"/>
        <w:numPr>
          <w:ilvl w:val="0"/>
          <w:numId w:val="1"/>
        </w:numPr>
        <w:bidi/>
        <w:spacing w:after="0" w:line="240" w:lineRule="auto"/>
        <w:jc w:val="both"/>
        <w:rPr>
          <w:rFonts w:asciiTheme="majorBidi" w:hAnsiTheme="majorBidi" w:cs="Simplified Arabic"/>
          <w:sz w:val="32"/>
          <w:szCs w:val="32"/>
          <w:lang w:bidi="ar-DZ"/>
        </w:rPr>
      </w:pPr>
      <w:r>
        <w:rPr>
          <w:rFonts w:asciiTheme="majorBidi" w:hAnsiTheme="majorBidi" w:cs="Simplified Arabic" w:hint="cs"/>
          <w:sz w:val="32"/>
          <w:szCs w:val="32"/>
          <w:rtl/>
          <w:lang w:bidi="ar-DZ"/>
        </w:rPr>
        <w:lastRenderedPageBreak/>
        <w:t>يرى النقاد الجدد أن مؤرخ الأدب عندما يدرس تأثر العمل الأدبي بغيره يفتت العمل الأدبي إلى جزئيات يتناول بعضها في دراسة تأثر العمل في هذه الجزئية أو تلك ولا يتناول العمل الأدبي بكونه تشكيلا فنيا متكاملا ولا يعطي معناه ولا تتضح قيمته إلا بالنظر إليه في كليته وشموليته، وقد يكون هذا النقد صحيحا في بعض الممارسات العلمية ولكنه غير صحيح من حيث المبدأ إذ يمكن لمؤرخ الأدب أن يركز دراسته على علاقة العمل بالمحيط الاجتماعي، أو الاقتصادي أو السياسي أو بالتقاليد والأعراف الأدبية الموروثة أو بالتأثير الواقع على العمل الأدبي من الداخل أو من الخارج، وفي الوقت ذاته يكون مدركا وواعيا لدور العوامل الأخرى الداخلة في تكوين العمل الأدبي المدروس.</w:t>
      </w:r>
    </w:p>
    <w:p w:rsidR="00485704" w:rsidRDefault="00485704" w:rsidP="00485704">
      <w:pPr>
        <w:pStyle w:val="Paragraphedeliste"/>
        <w:bidi/>
        <w:spacing w:after="0" w:line="240" w:lineRule="auto"/>
        <w:ind w:left="660"/>
        <w:jc w:val="both"/>
        <w:rPr>
          <w:rFonts w:asciiTheme="majorBidi" w:hAnsiTheme="majorBidi" w:cs="Simplified Arabic"/>
          <w:sz w:val="32"/>
          <w:szCs w:val="32"/>
          <w:rtl/>
          <w:lang w:bidi="ar-DZ"/>
        </w:rPr>
      </w:pPr>
      <w:r>
        <w:rPr>
          <w:rFonts w:asciiTheme="majorBidi" w:hAnsiTheme="majorBidi" w:cs="Simplified Arabic" w:hint="cs"/>
          <w:sz w:val="32"/>
          <w:szCs w:val="32"/>
          <w:rtl/>
          <w:lang w:bidi="ar-DZ"/>
        </w:rPr>
        <w:t xml:space="preserve">   -ومن هذه الانتقادات أيضا أن دراسة التأثير قد دفعت الدارسين إلى اختيار أدباء وأعمال أدبية وآداب من الدرجة الثانية، أو بعبارة أخرى تكون أقل شأنا من الطرف الآخر للمقارنة (المؤثر)، ففي هذه الحالة يكون مجال الدراسة خصبا والمادة غزيرة والنتائج مضمونة، وربما كان هذا صحيحا أيضا في بعض الأحيان، غير أنه لا يمكن في الواقع استثناء أي أديب أو أي عمل أدبي أو أي أدب بكامله صغيرا كان أم كبيرا من الوقوع تحت تأثير الآخرين.</w:t>
      </w:r>
    </w:p>
    <w:p w:rsidR="00485704" w:rsidRDefault="00485704" w:rsidP="00485704">
      <w:pPr>
        <w:pStyle w:val="Paragraphedeliste"/>
        <w:bidi/>
        <w:spacing w:after="0" w:line="240" w:lineRule="auto"/>
        <w:ind w:left="660"/>
        <w:jc w:val="both"/>
        <w:rPr>
          <w:rFonts w:asciiTheme="majorBidi" w:hAnsiTheme="majorBidi" w:cs="Simplified Arabic"/>
          <w:sz w:val="32"/>
          <w:szCs w:val="32"/>
          <w:rtl/>
          <w:lang w:bidi="ar-DZ"/>
        </w:rPr>
      </w:pPr>
      <w:r>
        <w:rPr>
          <w:rFonts w:asciiTheme="majorBidi" w:hAnsiTheme="majorBidi" w:cs="Simplified Arabic" w:hint="cs"/>
          <w:sz w:val="32"/>
          <w:szCs w:val="32"/>
          <w:rtl/>
          <w:lang w:bidi="ar-DZ"/>
        </w:rPr>
        <w:t xml:space="preserve">   -ومنها أيضا أن دراسة التأثير تتوقف عند مجرد إثبات التأثير وتتبعه تسجيله، ومثل هذه الدراسات لا تفيدنا شيئا ولا تزيدنا فهما للعمل الأدبي سواء من ناحية المؤثر أو المتأثر، ولا تزيدنا فهما للظاهرة الأدبية بعامة، وإنما هي عبارة عن معلومات مكدسة في تواريخ الأدب، ولا قيمة لها إلا في إرضاء الغرور القومي، وأن هذا الأديب أو ذاك الأدب كان أعلى شأنا من غيره لأن تأثيراته ممتدة ومتشعبة، والواقع هو أن هذا الانتقاد موجه أيضا إلى بعض الممارسات العلمية دون المبدأ النظري والمنهجي، فالمفروض أن لا يكتفي دارس التأثير برصد التأثير واقتفائه وإنما عليه أن يتابع الدراسة ليرى نتيجة هذا التأثير في بناء هذا العمل الأدبي، وماذا فعل الأديب بهذا الرافد الذي استقاه من الآخرين، وكيف وظفه في تشكيل نتاجه الأدبي، إذ من النادر جدا أن نجد محاكاة حرفية بين أديبين أو عملين أدبيين.</w:t>
      </w:r>
    </w:p>
    <w:p w:rsidR="00485704" w:rsidRDefault="00485704" w:rsidP="00485704">
      <w:pPr>
        <w:pStyle w:val="Paragraphedeliste"/>
        <w:bidi/>
        <w:spacing w:after="0" w:line="240" w:lineRule="auto"/>
        <w:ind w:left="660"/>
        <w:jc w:val="both"/>
        <w:rPr>
          <w:rFonts w:asciiTheme="majorBidi" w:hAnsiTheme="majorBidi" w:cs="Simplified Arabic"/>
          <w:sz w:val="32"/>
          <w:szCs w:val="32"/>
          <w:rtl/>
          <w:lang w:bidi="ar-DZ"/>
        </w:rPr>
      </w:pPr>
      <w:r>
        <w:rPr>
          <w:rFonts w:asciiTheme="majorBidi" w:hAnsiTheme="majorBidi" w:cs="Simplified Arabic" w:hint="cs"/>
          <w:sz w:val="32"/>
          <w:szCs w:val="32"/>
          <w:rtl/>
          <w:lang w:bidi="ar-DZ"/>
        </w:rPr>
        <w:lastRenderedPageBreak/>
        <w:t xml:space="preserve">   -أما الهجوم الأكبر من قبل النقاد الجدد على دراسات التأثير فكان مبنيا على ارتباط دراسة التأثير بمقولة </w:t>
      </w:r>
      <w:r w:rsidRPr="00F35F95">
        <w:rPr>
          <w:rFonts w:asciiTheme="majorBidi" w:hAnsiTheme="majorBidi" w:cs="Simplified Arabic" w:hint="cs"/>
          <w:b/>
          <w:bCs/>
          <w:sz w:val="32"/>
          <w:szCs w:val="32"/>
          <w:rtl/>
          <w:lang w:bidi="ar-DZ"/>
        </w:rPr>
        <w:t>السببية</w:t>
      </w:r>
      <w:r>
        <w:rPr>
          <w:rFonts w:asciiTheme="majorBidi" w:hAnsiTheme="majorBidi" w:cs="Simplified Arabic" w:hint="cs"/>
          <w:sz w:val="32"/>
          <w:szCs w:val="32"/>
          <w:rtl/>
          <w:lang w:bidi="ar-DZ"/>
        </w:rPr>
        <w:t xml:space="preserve"> </w:t>
      </w:r>
      <w:r w:rsidRPr="00F35F95">
        <w:rPr>
          <w:rFonts w:asciiTheme="majorBidi" w:hAnsiTheme="majorBidi" w:cs="Simplified Arabic" w:hint="cs"/>
          <w:b/>
          <w:bCs/>
          <w:sz w:val="32"/>
          <w:szCs w:val="32"/>
          <w:rtl/>
          <w:lang w:bidi="ar-DZ"/>
        </w:rPr>
        <w:t>الحتمية</w:t>
      </w:r>
      <w:r>
        <w:rPr>
          <w:rFonts w:asciiTheme="majorBidi" w:hAnsiTheme="majorBidi" w:cs="Simplified Arabic" w:hint="cs"/>
          <w:sz w:val="32"/>
          <w:szCs w:val="32"/>
          <w:rtl/>
          <w:lang w:bidi="ar-DZ"/>
        </w:rPr>
        <w:t>،</w:t>
      </w:r>
      <w:r w:rsidRPr="003A0D70">
        <w:rPr>
          <w:rFonts w:asciiTheme="majorBidi" w:hAnsiTheme="majorBidi" w:cs="Simplified Arabic" w:hint="cs"/>
          <w:sz w:val="32"/>
          <w:szCs w:val="32"/>
          <w:rtl/>
          <w:lang w:bidi="ar-DZ"/>
        </w:rPr>
        <w:t xml:space="preserve"> </w:t>
      </w:r>
      <w:r>
        <w:rPr>
          <w:rFonts w:asciiTheme="majorBidi" w:hAnsiTheme="majorBidi" w:cs="Simplified Arabic" w:hint="cs"/>
          <w:sz w:val="32"/>
          <w:szCs w:val="32"/>
          <w:rtl/>
          <w:lang w:bidi="ar-DZ"/>
        </w:rPr>
        <w:t>فقد كان مؤرخو الأدب يرون أن جميع السمات الشكلية والمضمونية للعمل الأدبي يمكن أن ترد لعوامل خارجة عن العمل ذاته، فإذا جمعنا هذه العوامل على سبيل الحصر ودرسناها أمكن تفسير العمل الأدبي تفسيرا كاملا من جميع جوانبه، وقد هاجم النقاد الجدد هذه المقولة بعنف فهم يرون أن السببية التي تقول إنه لولا العوامل:أ،ب،ج(المحيط الأدبي)، لما ظهر العمل الأدبي على هذه الصورة شكلا ومضمونا، يمكن تطبيقها على العلوم الطبيعية ولا يمكن تطبيقها على الفن الأدبي، ففي العلوم الطبيعية يمكن تعيين هذه العوامل على سبيل التحديد والحصر في حين لا يمكن حصر العوالم المؤثرة في تشكيل العمل الأدبي، ثم إنه في العلوم الطبيعية يمكن تجريب هذه العوامل مع تعدياها وتبديلها على الظاهرة الطبيعية في حين لا يمكن تجريب العوامل مع الظاهرة الأدبية، وأيضا في حالة الظاهرة الطبيعية يمكن التنبؤ بما ستكون عليه إذ أثر عليها هذا العمل أو ذاك، بينما لا يمكن التنبؤ بما ستكون عليه الظاهرة الأدبية الفنية مع توافر جميع العوامل الممكنة، بالإضافة إلى ذلك والأهم منه، هو أن هذه المقولة تتناقض كلية مع القدرة الإبداعية والتخييلية لدى الأديب، والتي تقع في صلب الإبداع الأدبي وجوهره.</w:t>
      </w:r>
    </w:p>
    <w:p w:rsidR="008F05FA" w:rsidRPr="00485704" w:rsidRDefault="00485704" w:rsidP="00485704">
      <w:pPr>
        <w:pStyle w:val="Paragraphedeliste"/>
        <w:bidi/>
        <w:spacing w:after="0" w:line="240" w:lineRule="auto"/>
        <w:ind w:left="660"/>
        <w:jc w:val="both"/>
        <w:rPr>
          <w:rFonts w:asciiTheme="majorBidi" w:hAnsiTheme="majorBidi" w:cs="Simplified Arabic"/>
          <w:sz w:val="32"/>
          <w:szCs w:val="32"/>
          <w:lang w:bidi="ar-DZ"/>
        </w:rPr>
      </w:pPr>
      <w:r>
        <w:rPr>
          <w:rFonts w:asciiTheme="majorBidi" w:hAnsiTheme="majorBidi" w:cs="Simplified Arabic" w:hint="cs"/>
          <w:sz w:val="32"/>
          <w:szCs w:val="32"/>
          <w:rtl/>
          <w:lang w:bidi="ar-DZ"/>
        </w:rPr>
        <w:t xml:space="preserve">   وللرد على هذا النقد لابد من التمييز بين دور التأثير في عملية الإنتاج الأدبي ودور التأثير في النتاج الأدبي ذاته، فدور التأثير في عملية الإنتاج تدخل في نطاق الدراسة النفسية لعملية الإبداع الأدبي وهي دراسة متشابكة ومعقدة، أما دور التأثير في النتاج الأدبي ذاته فهو ظاهر ويمكن تلمسه وتبيينه، وفي دراسة التأثير لا يتعامل الدارس مع عملية الإبداع، وإنما يكون تعامله مع النتاج الأدبي ذاته، وهنا يتعين على الدارس أن يرصد التأثير ويتتبعه بالوصف والتحليل، ولكن عليه في الوقت ذاته-وهنا الصعوبة-أن يحاول الإجابة عن عدد من الأسئلة مثل: ما هي الجوانب التي لم يتأثر فيها العمل الأدبي أو الأديب بالعمل أو الأديب المؤثر؟ كيف أعاد الأديب المتأثر صياغة ما أخذه من غيره من جديد؟ هل ساعد ما أخذه الأديب عن غيره في الوصول إلى أسلوب أدبي جديد خاص به من حيث الشكل والمضمون؟ وبذلك تؤتي دراسة التأثير ثمرتها المرجوة وتكتسب قيمتها داخل إطار الدراسة الأدبية الجادة.</w:t>
      </w:r>
    </w:p>
    <w:sectPr w:rsidR="008F05FA" w:rsidRPr="00485704" w:rsidSect="008F05F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91A" w:rsidRDefault="0009691A" w:rsidP="00485704">
      <w:pPr>
        <w:spacing w:after="0" w:line="240" w:lineRule="auto"/>
      </w:pPr>
      <w:r>
        <w:separator/>
      </w:r>
    </w:p>
  </w:endnote>
  <w:endnote w:type="continuationSeparator" w:id="1">
    <w:p w:rsidR="0009691A" w:rsidRDefault="0009691A" w:rsidP="004857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91A" w:rsidRDefault="0009691A" w:rsidP="00485704">
      <w:pPr>
        <w:spacing w:after="0" w:line="240" w:lineRule="auto"/>
      </w:pPr>
      <w:r>
        <w:separator/>
      </w:r>
    </w:p>
  </w:footnote>
  <w:footnote w:type="continuationSeparator" w:id="1">
    <w:p w:rsidR="0009691A" w:rsidRDefault="0009691A" w:rsidP="00485704">
      <w:pPr>
        <w:spacing w:after="0" w:line="240" w:lineRule="auto"/>
      </w:pPr>
      <w:r>
        <w:continuationSeparator/>
      </w:r>
    </w:p>
  </w:footnote>
  <w:footnote w:id="2">
    <w:p w:rsidR="00485704" w:rsidRPr="00002AE4" w:rsidRDefault="00485704" w:rsidP="00485704">
      <w:pPr>
        <w:pStyle w:val="Notedebasdepage"/>
        <w:bidi/>
        <w:jc w:val="left"/>
        <w:rPr>
          <w:rFonts w:asciiTheme="majorBidi" w:hAnsiTheme="majorBidi" w:cs="Simplified Arabic"/>
          <w:sz w:val="24"/>
          <w:szCs w:val="24"/>
          <w:rtl/>
          <w:lang w:bidi="ar-DZ"/>
        </w:rPr>
      </w:pPr>
      <w:r w:rsidRPr="0038404D">
        <w:rPr>
          <w:rStyle w:val="Appelnotedebasdep"/>
          <w:rFonts w:asciiTheme="majorBidi" w:hAnsiTheme="majorBidi" w:cs="Simplified Arabic"/>
          <w:b/>
          <w:bCs/>
          <w:sz w:val="24"/>
          <w:szCs w:val="24"/>
        </w:rPr>
        <w:footnoteRef/>
      </w:r>
      <w:r>
        <w:rPr>
          <w:rFonts w:asciiTheme="majorBidi" w:hAnsiTheme="majorBidi" w:cs="Simplified Arabic" w:hint="cs"/>
          <w:sz w:val="24"/>
          <w:szCs w:val="24"/>
          <w:rtl/>
        </w:rPr>
        <w:t xml:space="preserve"> ينظر : ريمون طحان، الأدب المقارن والأدب العام، دار الكتاب اللبناني، بيروت/لبنان، ط1،1972م،ص09.</w:t>
      </w:r>
      <w:r>
        <w:rPr>
          <w:rFonts w:asciiTheme="majorBidi" w:hAnsiTheme="majorBidi" w:cs="Simplified Arabic"/>
          <w:sz w:val="24"/>
          <w:szCs w:val="24"/>
          <w:rtl/>
        </w:rPr>
        <w:t xml:space="preserve"> </w:t>
      </w:r>
      <w:r>
        <w:rPr>
          <w:rFonts w:asciiTheme="majorBidi" w:hAnsiTheme="majorBidi" w:cs="Simplified Arabic" w:hint="cs"/>
          <w:sz w:val="24"/>
          <w:szCs w:val="24"/>
          <w:rtl/>
        </w:rPr>
        <w:t xml:space="preserve"> </w:t>
      </w:r>
    </w:p>
  </w:footnote>
  <w:footnote w:id="3">
    <w:p w:rsidR="00485704" w:rsidRPr="00002AE4" w:rsidRDefault="00485704" w:rsidP="00485704">
      <w:pPr>
        <w:pStyle w:val="Notedebasdepage"/>
        <w:bidi/>
        <w:jc w:val="left"/>
        <w:rPr>
          <w:rFonts w:asciiTheme="majorBidi" w:hAnsiTheme="majorBidi" w:cs="Simplified Arabic"/>
          <w:sz w:val="24"/>
          <w:szCs w:val="24"/>
          <w:rtl/>
          <w:lang w:bidi="ar-DZ"/>
        </w:rPr>
      </w:pPr>
      <w:r w:rsidRPr="0038404D">
        <w:rPr>
          <w:rStyle w:val="Appelnotedebasdep"/>
          <w:rFonts w:asciiTheme="majorBidi" w:hAnsiTheme="majorBidi" w:cs="Simplified Arabic"/>
          <w:b/>
          <w:bCs/>
          <w:sz w:val="24"/>
          <w:szCs w:val="24"/>
        </w:rPr>
        <w:footnoteRef/>
      </w:r>
      <w:r>
        <w:rPr>
          <w:rFonts w:asciiTheme="majorBidi" w:hAnsiTheme="majorBidi" w:cs="Simplified Arabic" w:hint="cs"/>
          <w:sz w:val="24"/>
          <w:szCs w:val="24"/>
          <w:rtl/>
          <w:lang w:bidi="ar-DZ"/>
        </w:rPr>
        <w:t xml:space="preserve"> ينظر: سعيد علوش، مدارس الأدب المقارن-دراسة منهجية-المركز الثقافي العربي،ط01،1987م،ص313(ملحق رقم:5).</w:t>
      </w:r>
      <w:r>
        <w:rPr>
          <w:rFonts w:asciiTheme="majorBidi" w:hAnsiTheme="majorBidi" w:cs="Simplified Arabic" w:hint="cs"/>
          <w:sz w:val="24"/>
          <w:szCs w:val="24"/>
          <w:rtl/>
        </w:rPr>
        <w:t xml:space="preserve"> </w:t>
      </w:r>
    </w:p>
  </w:footnote>
  <w:footnote w:id="4">
    <w:p w:rsidR="00485704" w:rsidRPr="00002AE4" w:rsidRDefault="00485704" w:rsidP="00485704">
      <w:pPr>
        <w:pStyle w:val="Notedebasdepage"/>
        <w:bidi/>
        <w:jc w:val="left"/>
        <w:rPr>
          <w:rFonts w:asciiTheme="majorBidi" w:hAnsiTheme="majorBidi" w:cs="Simplified Arabic"/>
          <w:sz w:val="24"/>
          <w:szCs w:val="24"/>
          <w:rtl/>
          <w:lang w:bidi="ar-DZ"/>
        </w:rPr>
      </w:pPr>
      <w:r w:rsidRPr="0038404D">
        <w:rPr>
          <w:rStyle w:val="Appelnotedebasdep"/>
          <w:rFonts w:asciiTheme="majorBidi" w:hAnsiTheme="majorBidi" w:cs="Simplified Arabic"/>
          <w:b/>
          <w:bCs/>
          <w:sz w:val="24"/>
          <w:szCs w:val="24"/>
        </w:rPr>
        <w:footnoteRef/>
      </w:r>
      <w:r>
        <w:rPr>
          <w:rFonts w:asciiTheme="majorBidi" w:hAnsiTheme="majorBidi" w:cs="Simplified Arabic"/>
          <w:sz w:val="24"/>
          <w:szCs w:val="24"/>
          <w:rtl/>
        </w:rPr>
        <w:t xml:space="preserve"> </w:t>
      </w:r>
      <w:r>
        <w:rPr>
          <w:rFonts w:asciiTheme="majorBidi" w:hAnsiTheme="majorBidi" w:cs="Simplified Arabic" w:hint="cs"/>
          <w:sz w:val="24"/>
          <w:szCs w:val="24"/>
          <w:rtl/>
        </w:rPr>
        <w:t xml:space="preserve">محمد غنيمي هلال ، الأدب المقارن ، نهضة مصر للطباعة والنشر والتوزيع، القاهرة/مصر، ط09، 2008م، ص97/98.  </w:t>
      </w:r>
    </w:p>
  </w:footnote>
  <w:footnote w:id="5">
    <w:p w:rsidR="00485704" w:rsidRPr="00002AE4" w:rsidRDefault="00485704" w:rsidP="00485704">
      <w:pPr>
        <w:pStyle w:val="Notedebasdepage"/>
        <w:bidi/>
        <w:jc w:val="left"/>
        <w:rPr>
          <w:rFonts w:asciiTheme="majorBidi" w:hAnsiTheme="majorBidi" w:cs="Simplified Arabic"/>
          <w:sz w:val="24"/>
          <w:szCs w:val="24"/>
          <w:rtl/>
          <w:lang w:bidi="ar-DZ"/>
        </w:rPr>
      </w:pPr>
      <w:r w:rsidRPr="0038404D">
        <w:rPr>
          <w:rStyle w:val="Appelnotedebasdep"/>
          <w:rFonts w:asciiTheme="majorBidi" w:hAnsiTheme="majorBidi" w:cs="Simplified Arabic"/>
          <w:b/>
          <w:bCs/>
          <w:sz w:val="24"/>
          <w:szCs w:val="24"/>
        </w:rPr>
        <w:footnoteRef/>
      </w:r>
      <w:r w:rsidRPr="0038404D">
        <w:rPr>
          <w:rFonts w:asciiTheme="majorBidi" w:hAnsiTheme="majorBidi" w:cs="Simplified Arabic"/>
          <w:b/>
          <w:bCs/>
          <w:sz w:val="24"/>
          <w:szCs w:val="24"/>
          <w:rtl/>
        </w:rPr>
        <w:t xml:space="preserve"> </w:t>
      </w:r>
      <w:r w:rsidRPr="000C453E">
        <w:rPr>
          <w:rFonts w:asciiTheme="majorBidi" w:hAnsiTheme="majorBidi" w:cs="Simplified Arabic" w:hint="cs"/>
          <w:sz w:val="24"/>
          <w:szCs w:val="24"/>
          <w:rtl/>
        </w:rPr>
        <w:t xml:space="preserve"> </w:t>
      </w:r>
      <w:r>
        <w:rPr>
          <w:rFonts w:asciiTheme="majorBidi" w:hAnsiTheme="majorBidi" w:cs="Simplified Arabic" w:hint="cs"/>
          <w:sz w:val="24"/>
          <w:szCs w:val="24"/>
          <w:rtl/>
        </w:rPr>
        <w:t xml:space="preserve">ينظر : ريمون طحان، الأدب المقارن والأدب العام، ص61. </w:t>
      </w:r>
    </w:p>
  </w:footnote>
  <w:footnote w:id="6">
    <w:p w:rsidR="00485704" w:rsidRPr="00002AE4" w:rsidRDefault="00485704" w:rsidP="00485704">
      <w:pPr>
        <w:pStyle w:val="Notedebasdepage"/>
        <w:bidi/>
        <w:jc w:val="left"/>
        <w:rPr>
          <w:rFonts w:asciiTheme="majorBidi" w:hAnsiTheme="majorBidi" w:cs="Simplified Arabic"/>
          <w:sz w:val="24"/>
          <w:szCs w:val="24"/>
          <w:rtl/>
          <w:lang w:bidi="ar-DZ"/>
        </w:rPr>
      </w:pPr>
      <w:r w:rsidRPr="0038404D">
        <w:rPr>
          <w:rStyle w:val="Appelnotedebasdep"/>
          <w:rFonts w:asciiTheme="majorBidi" w:hAnsiTheme="majorBidi" w:cs="Simplified Arabic"/>
          <w:b/>
          <w:bCs/>
          <w:sz w:val="24"/>
          <w:szCs w:val="24"/>
        </w:rPr>
        <w:footnoteRef/>
      </w:r>
      <w:r>
        <w:rPr>
          <w:rFonts w:asciiTheme="majorBidi" w:hAnsiTheme="majorBidi" w:cs="Simplified Arabic"/>
          <w:sz w:val="24"/>
          <w:szCs w:val="24"/>
          <w:rtl/>
        </w:rPr>
        <w:t xml:space="preserve"> </w:t>
      </w:r>
      <w:r>
        <w:rPr>
          <w:rFonts w:asciiTheme="majorBidi" w:hAnsiTheme="majorBidi" w:cs="Simplified Arabic" w:hint="cs"/>
          <w:sz w:val="24"/>
          <w:szCs w:val="24"/>
          <w:rtl/>
        </w:rPr>
        <w:t xml:space="preserve">ينظر : ريمون طحان، نفسه،ص8/9.  </w:t>
      </w:r>
    </w:p>
  </w:footnote>
  <w:footnote w:id="7">
    <w:p w:rsidR="00485704" w:rsidRPr="00002AE4" w:rsidRDefault="00485704" w:rsidP="00485704">
      <w:pPr>
        <w:pStyle w:val="Notedebasdepage"/>
        <w:bidi/>
        <w:jc w:val="left"/>
        <w:rPr>
          <w:rFonts w:asciiTheme="majorBidi" w:hAnsiTheme="majorBidi" w:cs="Simplified Arabic"/>
          <w:sz w:val="24"/>
          <w:szCs w:val="24"/>
          <w:rtl/>
          <w:lang w:bidi="ar-DZ"/>
        </w:rPr>
      </w:pPr>
      <w:r w:rsidRPr="0038404D">
        <w:rPr>
          <w:rStyle w:val="Appelnotedebasdep"/>
          <w:rFonts w:asciiTheme="majorBidi" w:hAnsiTheme="majorBidi" w:cs="Simplified Arabic"/>
          <w:b/>
          <w:bCs/>
          <w:sz w:val="24"/>
          <w:szCs w:val="24"/>
        </w:rPr>
        <w:footnoteRef/>
      </w:r>
      <w:r>
        <w:rPr>
          <w:rFonts w:asciiTheme="majorBidi" w:hAnsiTheme="majorBidi" w:cs="Simplified Arabic"/>
          <w:sz w:val="24"/>
          <w:szCs w:val="24"/>
          <w:rtl/>
        </w:rPr>
        <w:t xml:space="preserve"> </w:t>
      </w:r>
      <w:r>
        <w:rPr>
          <w:rFonts w:asciiTheme="majorBidi" w:hAnsiTheme="majorBidi" w:cs="Simplified Arabic" w:hint="cs"/>
          <w:sz w:val="24"/>
          <w:szCs w:val="24"/>
          <w:rtl/>
        </w:rPr>
        <w:t xml:space="preserve">ينظر: محمد غنيمي هلال ، الأدب المقارن، ص97.   </w:t>
      </w:r>
    </w:p>
  </w:footnote>
  <w:footnote w:id="8">
    <w:p w:rsidR="00485704" w:rsidRPr="00002AE4" w:rsidRDefault="00485704" w:rsidP="00485704">
      <w:pPr>
        <w:pStyle w:val="Notedebasdepage"/>
        <w:bidi/>
        <w:jc w:val="left"/>
        <w:rPr>
          <w:rFonts w:asciiTheme="majorBidi" w:hAnsiTheme="majorBidi" w:cs="Simplified Arabic"/>
          <w:sz w:val="24"/>
          <w:szCs w:val="24"/>
          <w:rtl/>
          <w:lang w:bidi="ar-DZ"/>
        </w:rPr>
      </w:pPr>
      <w:r w:rsidRPr="0038404D">
        <w:rPr>
          <w:rStyle w:val="Appelnotedebasdep"/>
          <w:rFonts w:asciiTheme="majorBidi" w:hAnsiTheme="majorBidi" w:cs="Simplified Arabic"/>
          <w:b/>
          <w:bCs/>
          <w:sz w:val="24"/>
          <w:szCs w:val="24"/>
        </w:rPr>
        <w:footnoteRef/>
      </w:r>
      <w:r>
        <w:rPr>
          <w:rFonts w:asciiTheme="majorBidi" w:hAnsiTheme="majorBidi" w:cs="Simplified Arabic"/>
          <w:sz w:val="24"/>
          <w:szCs w:val="24"/>
          <w:rtl/>
        </w:rPr>
        <w:t xml:space="preserve"> </w:t>
      </w:r>
      <w:r>
        <w:rPr>
          <w:rFonts w:asciiTheme="majorBidi" w:hAnsiTheme="majorBidi" w:cs="Simplified Arabic" w:hint="cs"/>
          <w:sz w:val="24"/>
          <w:szCs w:val="24"/>
          <w:rtl/>
          <w:lang w:bidi="ar-DZ"/>
        </w:rPr>
        <w:t>ينظر</w:t>
      </w:r>
      <w:r>
        <w:rPr>
          <w:rFonts w:asciiTheme="majorBidi" w:hAnsiTheme="majorBidi" w:cs="Simplified Arabic" w:hint="cs"/>
          <w:sz w:val="24"/>
          <w:szCs w:val="24"/>
          <w:rtl/>
        </w:rPr>
        <w:t>: ريمون طحان، الأدب المقارن والأدب العام، ص16.</w:t>
      </w:r>
    </w:p>
  </w:footnote>
  <w:footnote w:id="9">
    <w:p w:rsidR="00485704" w:rsidRPr="00002AE4" w:rsidRDefault="00485704" w:rsidP="00485704">
      <w:pPr>
        <w:pStyle w:val="Notedebasdepage"/>
        <w:bidi/>
        <w:jc w:val="left"/>
        <w:rPr>
          <w:rFonts w:asciiTheme="majorBidi" w:hAnsiTheme="majorBidi" w:cs="Simplified Arabic"/>
          <w:sz w:val="24"/>
          <w:szCs w:val="24"/>
          <w:rtl/>
          <w:lang w:bidi="ar-DZ"/>
        </w:rPr>
      </w:pPr>
      <w:r w:rsidRPr="0038404D">
        <w:rPr>
          <w:rStyle w:val="Appelnotedebasdep"/>
          <w:rFonts w:asciiTheme="majorBidi" w:hAnsiTheme="majorBidi" w:cs="Simplified Arabic"/>
          <w:b/>
          <w:bCs/>
          <w:sz w:val="24"/>
          <w:szCs w:val="24"/>
        </w:rPr>
        <w:footnoteRef/>
      </w:r>
      <w:r>
        <w:rPr>
          <w:rFonts w:asciiTheme="majorBidi" w:hAnsiTheme="majorBidi" w:cs="Simplified Arabic"/>
          <w:sz w:val="24"/>
          <w:szCs w:val="24"/>
          <w:rtl/>
        </w:rPr>
        <w:t xml:space="preserve"> </w:t>
      </w:r>
      <w:r>
        <w:rPr>
          <w:rFonts w:asciiTheme="majorBidi" w:hAnsiTheme="majorBidi" w:cs="Simplified Arabic" w:hint="cs"/>
          <w:sz w:val="24"/>
          <w:szCs w:val="24"/>
          <w:rtl/>
        </w:rPr>
        <w:t>الطاهر أحمد مكي، الأدب المقارن أصوله وتطوره ومناهجه، دار المعارف، القاهرة/مصر، ط01، 1987م، ص269.</w:t>
      </w:r>
    </w:p>
  </w:footnote>
  <w:footnote w:id="10">
    <w:p w:rsidR="00485704" w:rsidRPr="00002AE4" w:rsidRDefault="00485704" w:rsidP="00485704">
      <w:pPr>
        <w:pStyle w:val="Notedebasdepage"/>
        <w:bidi/>
        <w:jc w:val="left"/>
        <w:rPr>
          <w:rFonts w:asciiTheme="majorBidi" w:hAnsiTheme="majorBidi" w:cs="Simplified Arabic"/>
          <w:sz w:val="24"/>
          <w:szCs w:val="24"/>
          <w:rtl/>
          <w:lang w:bidi="ar-DZ"/>
        </w:rPr>
      </w:pPr>
      <w:r w:rsidRPr="0038404D">
        <w:rPr>
          <w:rStyle w:val="Appelnotedebasdep"/>
          <w:rFonts w:asciiTheme="majorBidi" w:hAnsiTheme="majorBidi" w:cs="Simplified Arabic"/>
          <w:b/>
          <w:bCs/>
          <w:sz w:val="24"/>
          <w:szCs w:val="24"/>
        </w:rPr>
        <w:footnoteRef/>
      </w:r>
      <w:r>
        <w:rPr>
          <w:rFonts w:asciiTheme="majorBidi" w:hAnsiTheme="majorBidi" w:cs="Simplified Arabic" w:hint="cs"/>
          <w:sz w:val="24"/>
          <w:szCs w:val="24"/>
          <w:rtl/>
        </w:rPr>
        <w:t xml:space="preserve"> الطاهر أحمد مكي، نفسه، ص269.</w:t>
      </w:r>
      <w:r>
        <w:rPr>
          <w:rFonts w:asciiTheme="majorBidi" w:hAnsiTheme="majorBidi" w:cs="Simplified Arabic"/>
          <w:sz w:val="24"/>
          <w:szCs w:val="24"/>
          <w:rtl/>
        </w:rPr>
        <w:t xml:space="preserve"> </w:t>
      </w:r>
    </w:p>
  </w:footnote>
  <w:footnote w:id="11">
    <w:p w:rsidR="00485704" w:rsidRPr="00002AE4" w:rsidRDefault="00485704" w:rsidP="00485704">
      <w:pPr>
        <w:pStyle w:val="Notedebasdepage"/>
        <w:bidi/>
        <w:jc w:val="left"/>
        <w:rPr>
          <w:rFonts w:asciiTheme="majorBidi" w:hAnsiTheme="majorBidi" w:cs="Simplified Arabic"/>
          <w:sz w:val="24"/>
          <w:szCs w:val="24"/>
          <w:rtl/>
          <w:lang w:bidi="ar-DZ"/>
        </w:rPr>
      </w:pPr>
      <w:r w:rsidRPr="0038404D">
        <w:rPr>
          <w:rStyle w:val="Appelnotedebasdep"/>
          <w:rFonts w:asciiTheme="majorBidi" w:hAnsiTheme="majorBidi" w:cs="Simplified Arabic"/>
          <w:b/>
          <w:bCs/>
          <w:sz w:val="24"/>
          <w:szCs w:val="24"/>
        </w:rPr>
        <w:footnoteRef/>
      </w:r>
      <w:r>
        <w:rPr>
          <w:rFonts w:asciiTheme="majorBidi" w:hAnsiTheme="majorBidi" w:cs="Simplified Arabic"/>
          <w:sz w:val="24"/>
          <w:szCs w:val="24"/>
          <w:rtl/>
        </w:rPr>
        <w:t xml:space="preserve"> </w:t>
      </w:r>
      <w:r>
        <w:rPr>
          <w:rFonts w:asciiTheme="majorBidi" w:hAnsiTheme="majorBidi" w:cs="Simplified Arabic" w:hint="cs"/>
          <w:sz w:val="24"/>
          <w:szCs w:val="24"/>
          <w:rtl/>
        </w:rPr>
        <w:t xml:space="preserve">ينظر: ماريوس فرنسوا غويار، الأدب المقارن، تر: هنري زغيب، منشورات عويدات، بيروت/لبنان، ط02، 1988م، ص 25، وينظر أيضا: محمد غنيمي هلال، الأدب المقارن، ص88/89، و الطاهر أحمد مكي، الأدب المقارن، ص 272.  </w:t>
      </w:r>
    </w:p>
  </w:footnote>
  <w:footnote w:id="12">
    <w:p w:rsidR="00485704" w:rsidRPr="00002AE4" w:rsidRDefault="00485704" w:rsidP="00485704">
      <w:pPr>
        <w:pStyle w:val="Notedebasdepage"/>
        <w:bidi/>
        <w:jc w:val="left"/>
        <w:rPr>
          <w:rFonts w:asciiTheme="majorBidi" w:hAnsiTheme="majorBidi" w:cs="Simplified Arabic"/>
          <w:sz w:val="24"/>
          <w:szCs w:val="24"/>
          <w:rtl/>
          <w:lang w:bidi="ar-DZ"/>
        </w:rPr>
      </w:pPr>
      <w:r w:rsidRPr="0038404D">
        <w:rPr>
          <w:rStyle w:val="Appelnotedebasdep"/>
          <w:rFonts w:asciiTheme="majorBidi" w:hAnsiTheme="majorBidi" w:cs="Simplified Arabic"/>
          <w:b/>
          <w:bCs/>
          <w:sz w:val="24"/>
          <w:szCs w:val="24"/>
        </w:rPr>
        <w:footnoteRef/>
      </w:r>
      <w:r>
        <w:rPr>
          <w:rFonts w:asciiTheme="majorBidi" w:hAnsiTheme="majorBidi" w:cs="Simplified Arabic"/>
          <w:sz w:val="24"/>
          <w:szCs w:val="24"/>
          <w:rtl/>
        </w:rPr>
        <w:t xml:space="preserve"> </w:t>
      </w:r>
      <w:r>
        <w:rPr>
          <w:rFonts w:asciiTheme="majorBidi" w:hAnsiTheme="majorBidi" w:cs="Simplified Arabic" w:hint="cs"/>
          <w:sz w:val="24"/>
          <w:szCs w:val="24"/>
          <w:rtl/>
        </w:rPr>
        <w:t>ينظر: الطاهر أحمد مكي، الأدب المقارن أصوله وتطوره ومناهجه، ص271/272.</w:t>
      </w:r>
    </w:p>
  </w:footnote>
  <w:footnote w:id="13">
    <w:p w:rsidR="00485704" w:rsidRPr="00002AE4" w:rsidRDefault="00485704" w:rsidP="00485704">
      <w:pPr>
        <w:pStyle w:val="Notedebasdepage"/>
        <w:bidi/>
        <w:jc w:val="left"/>
        <w:rPr>
          <w:rFonts w:asciiTheme="majorBidi" w:hAnsiTheme="majorBidi" w:cs="Simplified Arabic"/>
          <w:sz w:val="24"/>
          <w:szCs w:val="24"/>
          <w:rtl/>
          <w:lang w:bidi="ar-DZ"/>
        </w:rPr>
      </w:pPr>
      <w:r w:rsidRPr="0038404D">
        <w:rPr>
          <w:rStyle w:val="Appelnotedebasdep"/>
          <w:rFonts w:asciiTheme="majorBidi" w:hAnsiTheme="majorBidi" w:cs="Simplified Arabic"/>
          <w:b/>
          <w:bCs/>
          <w:sz w:val="24"/>
          <w:szCs w:val="24"/>
        </w:rPr>
        <w:footnoteRef/>
      </w:r>
      <w:r>
        <w:rPr>
          <w:rFonts w:asciiTheme="majorBidi" w:hAnsiTheme="majorBidi" w:cs="Simplified Arabic"/>
          <w:sz w:val="24"/>
          <w:szCs w:val="24"/>
          <w:rtl/>
        </w:rPr>
        <w:t xml:space="preserve"> </w:t>
      </w:r>
      <w:r>
        <w:rPr>
          <w:rFonts w:asciiTheme="majorBidi" w:hAnsiTheme="majorBidi" w:cs="Simplified Arabic" w:hint="cs"/>
          <w:sz w:val="24"/>
          <w:szCs w:val="24"/>
          <w:rtl/>
        </w:rPr>
        <w:t>الطاهر أحمد مكي، نفسه، ص272.</w:t>
      </w:r>
    </w:p>
  </w:footnote>
  <w:footnote w:id="14">
    <w:p w:rsidR="00485704" w:rsidRPr="00002AE4" w:rsidRDefault="00485704" w:rsidP="00485704">
      <w:pPr>
        <w:pStyle w:val="Notedebasdepage"/>
        <w:bidi/>
        <w:jc w:val="left"/>
        <w:rPr>
          <w:rFonts w:asciiTheme="majorBidi" w:hAnsiTheme="majorBidi" w:cs="Simplified Arabic"/>
          <w:sz w:val="24"/>
          <w:szCs w:val="24"/>
          <w:rtl/>
          <w:lang w:bidi="ar-DZ"/>
        </w:rPr>
      </w:pPr>
      <w:r w:rsidRPr="0038404D">
        <w:rPr>
          <w:rStyle w:val="Appelnotedebasdep"/>
          <w:rFonts w:asciiTheme="majorBidi" w:hAnsiTheme="majorBidi" w:cs="Simplified Arabic"/>
          <w:b/>
          <w:bCs/>
          <w:sz w:val="24"/>
          <w:szCs w:val="24"/>
        </w:rPr>
        <w:footnoteRef/>
      </w:r>
      <w:r>
        <w:rPr>
          <w:rFonts w:asciiTheme="majorBidi" w:hAnsiTheme="majorBidi" w:cs="Simplified Arabic"/>
          <w:sz w:val="24"/>
          <w:szCs w:val="24"/>
          <w:rtl/>
        </w:rPr>
        <w:t xml:space="preserve"> </w:t>
      </w:r>
      <w:r>
        <w:rPr>
          <w:rFonts w:asciiTheme="majorBidi" w:hAnsiTheme="majorBidi" w:cs="Simplified Arabic" w:hint="cs"/>
          <w:sz w:val="24"/>
          <w:szCs w:val="24"/>
          <w:rtl/>
          <w:lang w:bidi="ar-DZ"/>
        </w:rPr>
        <w:t>ينظر</w:t>
      </w:r>
      <w:r>
        <w:rPr>
          <w:rFonts w:asciiTheme="majorBidi" w:hAnsiTheme="majorBidi" w:cs="Simplified Arabic" w:hint="cs"/>
          <w:sz w:val="24"/>
          <w:szCs w:val="24"/>
          <w:rtl/>
        </w:rPr>
        <w:t xml:space="preserve">: ريمون طحان، الأدب المقارن والأدب العام، ص60/61. </w:t>
      </w:r>
    </w:p>
  </w:footnote>
  <w:footnote w:id="15">
    <w:p w:rsidR="00485704" w:rsidRPr="00002AE4" w:rsidRDefault="00485704" w:rsidP="00485704">
      <w:pPr>
        <w:pStyle w:val="Notedebasdepage"/>
        <w:bidi/>
        <w:jc w:val="left"/>
        <w:rPr>
          <w:rFonts w:asciiTheme="majorBidi" w:hAnsiTheme="majorBidi" w:cs="Simplified Arabic"/>
          <w:sz w:val="24"/>
          <w:szCs w:val="24"/>
          <w:rtl/>
          <w:lang w:bidi="ar-DZ"/>
        </w:rPr>
      </w:pPr>
      <w:r w:rsidRPr="00DC6B2A">
        <w:rPr>
          <w:rStyle w:val="Appelnotedebasdep"/>
          <w:rFonts w:asciiTheme="majorBidi" w:hAnsiTheme="majorBidi" w:cs="Simplified Arabic"/>
          <w:b/>
          <w:bCs/>
          <w:sz w:val="24"/>
          <w:szCs w:val="24"/>
        </w:rPr>
        <w:footnoteRef/>
      </w:r>
      <w:r>
        <w:rPr>
          <w:rFonts w:asciiTheme="majorBidi" w:hAnsiTheme="majorBidi" w:cs="Simplified Arabic"/>
          <w:sz w:val="24"/>
          <w:szCs w:val="24"/>
          <w:rtl/>
        </w:rPr>
        <w:t xml:space="preserve"> </w:t>
      </w:r>
      <w:r>
        <w:rPr>
          <w:rFonts w:asciiTheme="majorBidi" w:hAnsiTheme="majorBidi" w:cs="Simplified Arabic" w:hint="cs"/>
          <w:sz w:val="24"/>
          <w:szCs w:val="24"/>
          <w:rtl/>
        </w:rPr>
        <w:t xml:space="preserve">ينظر: محمد غنيمي هلال، الأدب المقارن، ص88. </w:t>
      </w:r>
    </w:p>
  </w:footnote>
  <w:footnote w:id="16">
    <w:p w:rsidR="00485704" w:rsidRPr="00002AE4" w:rsidRDefault="00485704" w:rsidP="00485704">
      <w:pPr>
        <w:pStyle w:val="Notedebasdepage"/>
        <w:bidi/>
        <w:jc w:val="left"/>
        <w:rPr>
          <w:rFonts w:asciiTheme="majorBidi" w:hAnsiTheme="majorBidi" w:cs="Simplified Arabic"/>
          <w:sz w:val="24"/>
          <w:szCs w:val="24"/>
          <w:rtl/>
          <w:lang w:bidi="ar-DZ"/>
        </w:rPr>
      </w:pPr>
      <w:r w:rsidRPr="00DC6B2A">
        <w:rPr>
          <w:rStyle w:val="Appelnotedebasdep"/>
          <w:rFonts w:asciiTheme="majorBidi" w:hAnsiTheme="majorBidi" w:cs="Simplified Arabic"/>
          <w:b/>
          <w:bCs/>
          <w:sz w:val="24"/>
          <w:szCs w:val="24"/>
        </w:rPr>
        <w:footnoteRef/>
      </w:r>
      <w:r>
        <w:rPr>
          <w:rFonts w:asciiTheme="majorBidi" w:hAnsiTheme="majorBidi" w:cs="Simplified Arabic"/>
          <w:sz w:val="24"/>
          <w:szCs w:val="24"/>
          <w:rtl/>
        </w:rPr>
        <w:t xml:space="preserve"> </w:t>
      </w:r>
      <w:r>
        <w:rPr>
          <w:rFonts w:asciiTheme="majorBidi" w:hAnsiTheme="majorBidi" w:cs="Simplified Arabic" w:hint="cs"/>
          <w:sz w:val="24"/>
          <w:szCs w:val="24"/>
          <w:rtl/>
        </w:rPr>
        <w:t>ينظر: أحمد شوقي رضوان، مدخل إلى الأدب المقارن، دار العلوم العربية، بيروت/لبنان، ط01، 1990م، ص 34 وما بعدها.</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36829"/>
    <w:multiLevelType w:val="hybridMultilevel"/>
    <w:tmpl w:val="85802A22"/>
    <w:lvl w:ilvl="0" w:tplc="370A0AAA">
      <w:start w:val="1"/>
      <w:numFmt w:val="bullet"/>
      <w:lvlText w:val="-"/>
      <w:lvlJc w:val="left"/>
      <w:pPr>
        <w:ind w:left="660" w:hanging="360"/>
      </w:pPr>
      <w:rPr>
        <w:rFonts w:ascii="Simplified Arabic" w:eastAsiaTheme="minorEastAsia" w:hAnsi="Simplified Arabic" w:cs="Simplified Arabic" w:hint="default"/>
      </w:rPr>
    </w:lvl>
    <w:lvl w:ilvl="1" w:tplc="040C0003" w:tentative="1">
      <w:start w:val="1"/>
      <w:numFmt w:val="bullet"/>
      <w:lvlText w:val="o"/>
      <w:lvlJc w:val="left"/>
      <w:pPr>
        <w:ind w:left="1380" w:hanging="360"/>
      </w:pPr>
      <w:rPr>
        <w:rFonts w:ascii="Courier New" w:hAnsi="Courier New" w:cs="Courier New" w:hint="default"/>
      </w:rPr>
    </w:lvl>
    <w:lvl w:ilvl="2" w:tplc="040C0005" w:tentative="1">
      <w:start w:val="1"/>
      <w:numFmt w:val="bullet"/>
      <w:lvlText w:val=""/>
      <w:lvlJc w:val="left"/>
      <w:pPr>
        <w:ind w:left="2100" w:hanging="360"/>
      </w:pPr>
      <w:rPr>
        <w:rFonts w:ascii="Wingdings" w:hAnsi="Wingdings" w:hint="default"/>
      </w:rPr>
    </w:lvl>
    <w:lvl w:ilvl="3" w:tplc="040C0001" w:tentative="1">
      <w:start w:val="1"/>
      <w:numFmt w:val="bullet"/>
      <w:lvlText w:val=""/>
      <w:lvlJc w:val="left"/>
      <w:pPr>
        <w:ind w:left="2820" w:hanging="360"/>
      </w:pPr>
      <w:rPr>
        <w:rFonts w:ascii="Symbol" w:hAnsi="Symbol" w:hint="default"/>
      </w:rPr>
    </w:lvl>
    <w:lvl w:ilvl="4" w:tplc="040C0003" w:tentative="1">
      <w:start w:val="1"/>
      <w:numFmt w:val="bullet"/>
      <w:lvlText w:val="o"/>
      <w:lvlJc w:val="left"/>
      <w:pPr>
        <w:ind w:left="3540" w:hanging="360"/>
      </w:pPr>
      <w:rPr>
        <w:rFonts w:ascii="Courier New" w:hAnsi="Courier New" w:cs="Courier New" w:hint="default"/>
      </w:rPr>
    </w:lvl>
    <w:lvl w:ilvl="5" w:tplc="040C0005" w:tentative="1">
      <w:start w:val="1"/>
      <w:numFmt w:val="bullet"/>
      <w:lvlText w:val=""/>
      <w:lvlJc w:val="left"/>
      <w:pPr>
        <w:ind w:left="4260" w:hanging="360"/>
      </w:pPr>
      <w:rPr>
        <w:rFonts w:ascii="Wingdings" w:hAnsi="Wingdings" w:hint="default"/>
      </w:rPr>
    </w:lvl>
    <w:lvl w:ilvl="6" w:tplc="040C0001" w:tentative="1">
      <w:start w:val="1"/>
      <w:numFmt w:val="bullet"/>
      <w:lvlText w:val=""/>
      <w:lvlJc w:val="left"/>
      <w:pPr>
        <w:ind w:left="4980" w:hanging="360"/>
      </w:pPr>
      <w:rPr>
        <w:rFonts w:ascii="Symbol" w:hAnsi="Symbol" w:hint="default"/>
      </w:rPr>
    </w:lvl>
    <w:lvl w:ilvl="7" w:tplc="040C0003" w:tentative="1">
      <w:start w:val="1"/>
      <w:numFmt w:val="bullet"/>
      <w:lvlText w:val="o"/>
      <w:lvlJc w:val="left"/>
      <w:pPr>
        <w:ind w:left="5700" w:hanging="360"/>
      </w:pPr>
      <w:rPr>
        <w:rFonts w:ascii="Courier New" w:hAnsi="Courier New" w:cs="Courier New" w:hint="default"/>
      </w:rPr>
    </w:lvl>
    <w:lvl w:ilvl="8" w:tplc="040C0005" w:tentative="1">
      <w:start w:val="1"/>
      <w:numFmt w:val="bullet"/>
      <w:lvlText w:val=""/>
      <w:lvlJc w:val="left"/>
      <w:pPr>
        <w:ind w:left="64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0"/>
    <w:footnote w:id="1"/>
  </w:footnotePr>
  <w:endnotePr>
    <w:endnote w:id="0"/>
    <w:endnote w:id="1"/>
  </w:endnotePr>
  <w:compat/>
  <w:rsids>
    <w:rsidRoot w:val="00485704"/>
    <w:rsid w:val="00010BB0"/>
    <w:rsid w:val="0001678B"/>
    <w:rsid w:val="00024610"/>
    <w:rsid w:val="00045489"/>
    <w:rsid w:val="0009430D"/>
    <w:rsid w:val="0009691A"/>
    <w:rsid w:val="000A43F9"/>
    <w:rsid w:val="000C454C"/>
    <w:rsid w:val="0012051B"/>
    <w:rsid w:val="001217F2"/>
    <w:rsid w:val="00134944"/>
    <w:rsid w:val="00141F2B"/>
    <w:rsid w:val="001F24AD"/>
    <w:rsid w:val="00202529"/>
    <w:rsid w:val="0022000B"/>
    <w:rsid w:val="002222E0"/>
    <w:rsid w:val="00231A78"/>
    <w:rsid w:val="002908DD"/>
    <w:rsid w:val="00291A97"/>
    <w:rsid w:val="002A3985"/>
    <w:rsid w:val="002A6813"/>
    <w:rsid w:val="002B26AF"/>
    <w:rsid w:val="002F190C"/>
    <w:rsid w:val="002F208B"/>
    <w:rsid w:val="002F4703"/>
    <w:rsid w:val="00313FE5"/>
    <w:rsid w:val="0032454C"/>
    <w:rsid w:val="00327796"/>
    <w:rsid w:val="00334D79"/>
    <w:rsid w:val="003616A0"/>
    <w:rsid w:val="00362A28"/>
    <w:rsid w:val="00366991"/>
    <w:rsid w:val="003B72B8"/>
    <w:rsid w:val="003C381B"/>
    <w:rsid w:val="003E74A7"/>
    <w:rsid w:val="003F529A"/>
    <w:rsid w:val="00403B3B"/>
    <w:rsid w:val="004050F5"/>
    <w:rsid w:val="00462B9E"/>
    <w:rsid w:val="00465168"/>
    <w:rsid w:val="00474E2C"/>
    <w:rsid w:val="00485704"/>
    <w:rsid w:val="00495DFD"/>
    <w:rsid w:val="004B363F"/>
    <w:rsid w:val="004C2D3B"/>
    <w:rsid w:val="004E0F53"/>
    <w:rsid w:val="004F0DB9"/>
    <w:rsid w:val="0050101D"/>
    <w:rsid w:val="005017F7"/>
    <w:rsid w:val="00504D61"/>
    <w:rsid w:val="005131C8"/>
    <w:rsid w:val="00547CDB"/>
    <w:rsid w:val="00571CCA"/>
    <w:rsid w:val="005727CF"/>
    <w:rsid w:val="005A2E92"/>
    <w:rsid w:val="005A5B58"/>
    <w:rsid w:val="005D1187"/>
    <w:rsid w:val="005F3508"/>
    <w:rsid w:val="006034A0"/>
    <w:rsid w:val="00641B13"/>
    <w:rsid w:val="00660083"/>
    <w:rsid w:val="0068737F"/>
    <w:rsid w:val="006C4885"/>
    <w:rsid w:val="006D1CC1"/>
    <w:rsid w:val="00707184"/>
    <w:rsid w:val="0071001D"/>
    <w:rsid w:val="00714401"/>
    <w:rsid w:val="007163F0"/>
    <w:rsid w:val="007463BA"/>
    <w:rsid w:val="0075053C"/>
    <w:rsid w:val="00780BB8"/>
    <w:rsid w:val="007A3BFE"/>
    <w:rsid w:val="007A3E8E"/>
    <w:rsid w:val="007A57B6"/>
    <w:rsid w:val="007A66D1"/>
    <w:rsid w:val="007B6B3F"/>
    <w:rsid w:val="00804AC3"/>
    <w:rsid w:val="0083268A"/>
    <w:rsid w:val="00863A11"/>
    <w:rsid w:val="00884944"/>
    <w:rsid w:val="008874C0"/>
    <w:rsid w:val="00890A01"/>
    <w:rsid w:val="0089340A"/>
    <w:rsid w:val="008A00C8"/>
    <w:rsid w:val="008A2EAC"/>
    <w:rsid w:val="008A6542"/>
    <w:rsid w:val="008C3366"/>
    <w:rsid w:val="008C6469"/>
    <w:rsid w:val="008E23AC"/>
    <w:rsid w:val="008F05FA"/>
    <w:rsid w:val="0092231C"/>
    <w:rsid w:val="00944477"/>
    <w:rsid w:val="00946604"/>
    <w:rsid w:val="0095125C"/>
    <w:rsid w:val="009545E8"/>
    <w:rsid w:val="00970436"/>
    <w:rsid w:val="00990697"/>
    <w:rsid w:val="0099729A"/>
    <w:rsid w:val="00997C20"/>
    <w:rsid w:val="009B4CE0"/>
    <w:rsid w:val="009C1D4F"/>
    <w:rsid w:val="009C5F14"/>
    <w:rsid w:val="009F7054"/>
    <w:rsid w:val="00A15340"/>
    <w:rsid w:val="00A20B27"/>
    <w:rsid w:val="00A23256"/>
    <w:rsid w:val="00A45910"/>
    <w:rsid w:val="00A625E1"/>
    <w:rsid w:val="00A66BFE"/>
    <w:rsid w:val="00A779AB"/>
    <w:rsid w:val="00AD7BC0"/>
    <w:rsid w:val="00AE7CAA"/>
    <w:rsid w:val="00B31CF1"/>
    <w:rsid w:val="00B55AD1"/>
    <w:rsid w:val="00B6336E"/>
    <w:rsid w:val="00B64BFB"/>
    <w:rsid w:val="00B66359"/>
    <w:rsid w:val="00B7351D"/>
    <w:rsid w:val="00B8084E"/>
    <w:rsid w:val="00B80F83"/>
    <w:rsid w:val="00BB6474"/>
    <w:rsid w:val="00BC53DB"/>
    <w:rsid w:val="00BD6EAF"/>
    <w:rsid w:val="00BD7F0B"/>
    <w:rsid w:val="00C16B89"/>
    <w:rsid w:val="00C21A02"/>
    <w:rsid w:val="00C372FC"/>
    <w:rsid w:val="00C54DBB"/>
    <w:rsid w:val="00C767A6"/>
    <w:rsid w:val="00C9135E"/>
    <w:rsid w:val="00CA7309"/>
    <w:rsid w:val="00CC4E62"/>
    <w:rsid w:val="00CF0963"/>
    <w:rsid w:val="00CF70B0"/>
    <w:rsid w:val="00D23424"/>
    <w:rsid w:val="00D32BAE"/>
    <w:rsid w:val="00D4604A"/>
    <w:rsid w:val="00D7469D"/>
    <w:rsid w:val="00D80AA2"/>
    <w:rsid w:val="00D948B2"/>
    <w:rsid w:val="00D9752E"/>
    <w:rsid w:val="00DA4550"/>
    <w:rsid w:val="00DC501C"/>
    <w:rsid w:val="00DE1E4D"/>
    <w:rsid w:val="00DE2935"/>
    <w:rsid w:val="00DE7ED5"/>
    <w:rsid w:val="00E4304E"/>
    <w:rsid w:val="00E50AF2"/>
    <w:rsid w:val="00E5283E"/>
    <w:rsid w:val="00E72C52"/>
    <w:rsid w:val="00EA40D8"/>
    <w:rsid w:val="00EA42C7"/>
    <w:rsid w:val="00EB536A"/>
    <w:rsid w:val="00EC7DA6"/>
    <w:rsid w:val="00EE11B9"/>
    <w:rsid w:val="00EE7089"/>
    <w:rsid w:val="00EF51B5"/>
    <w:rsid w:val="00EF6CBD"/>
    <w:rsid w:val="00F067A5"/>
    <w:rsid w:val="00F2105F"/>
    <w:rsid w:val="00F31010"/>
    <w:rsid w:val="00F32DA3"/>
    <w:rsid w:val="00F50C97"/>
    <w:rsid w:val="00F65815"/>
    <w:rsid w:val="00F666D7"/>
    <w:rsid w:val="00F7114F"/>
    <w:rsid w:val="00F76A4B"/>
    <w:rsid w:val="00FA080E"/>
    <w:rsid w:val="00FB1D65"/>
    <w:rsid w:val="00FD0991"/>
    <w:rsid w:val="00FD10A9"/>
    <w:rsid w:val="00FD4341"/>
    <w:rsid w:val="00FD658D"/>
    <w:rsid w:val="00FE347B"/>
    <w:rsid w:val="00FE687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704"/>
    <w:pPr>
      <w:jc w:val="right"/>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85704"/>
    <w:pPr>
      <w:ind w:left="720"/>
      <w:contextualSpacing/>
    </w:pPr>
  </w:style>
  <w:style w:type="paragraph" w:styleId="Notedebasdepage">
    <w:name w:val="footnote text"/>
    <w:basedOn w:val="Normal"/>
    <w:link w:val="NotedebasdepageCar"/>
    <w:uiPriority w:val="99"/>
    <w:unhideWhenUsed/>
    <w:rsid w:val="00485704"/>
    <w:pPr>
      <w:spacing w:after="0" w:line="240" w:lineRule="auto"/>
    </w:pPr>
    <w:rPr>
      <w:sz w:val="20"/>
      <w:szCs w:val="20"/>
    </w:rPr>
  </w:style>
  <w:style w:type="character" w:customStyle="1" w:styleId="NotedebasdepageCar">
    <w:name w:val="Note de bas de page Car"/>
    <w:basedOn w:val="Policepardfaut"/>
    <w:link w:val="Notedebasdepage"/>
    <w:uiPriority w:val="99"/>
    <w:rsid w:val="00485704"/>
    <w:rPr>
      <w:rFonts w:eastAsiaTheme="minorEastAsia"/>
      <w:sz w:val="20"/>
      <w:szCs w:val="20"/>
      <w:lang w:eastAsia="fr-FR"/>
    </w:rPr>
  </w:style>
  <w:style w:type="character" w:styleId="Appelnotedebasdep">
    <w:name w:val="footnote reference"/>
    <w:basedOn w:val="Policepardfaut"/>
    <w:uiPriority w:val="99"/>
    <w:semiHidden/>
    <w:unhideWhenUsed/>
    <w:rsid w:val="0048570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1729</Words>
  <Characters>9515</Characters>
  <Application>Microsoft Office Word</Application>
  <DocSecurity>0</DocSecurity>
  <Lines>79</Lines>
  <Paragraphs>22</Paragraphs>
  <ScaleCrop>false</ScaleCrop>
  <Company/>
  <LinksUpToDate>false</LinksUpToDate>
  <CharactersWithSpaces>11222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1</cp:revision>
  <dcterms:created xsi:type="dcterms:W3CDTF">2020-04-20T09:50:00Z</dcterms:created>
  <dcterms:modified xsi:type="dcterms:W3CDTF">2020-04-20T09:52:00Z</dcterms:modified>
</cp:coreProperties>
</file>