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4" w:rsidRPr="00C94F2E" w:rsidRDefault="008C0434" w:rsidP="008C0434">
      <w:pPr>
        <w:bidi/>
        <w:jc w:val="center"/>
        <w:rPr>
          <w:rFonts w:ascii="Traditional Arabic" w:hAnsi="Traditional Arabic" w:cs="Traditional Arabic"/>
          <w:b/>
          <w:bCs/>
          <w:i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تين رقمي 09 و 10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Pr="00C94F2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C94F2E"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  <w:t xml:space="preserve"> قواعد </w:t>
      </w:r>
      <w:proofErr w:type="spellStart"/>
      <w:r w:rsidRPr="00C94F2E"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  <w:t>الإختصــــــاص</w:t>
      </w:r>
      <w:proofErr w:type="spellEnd"/>
      <w:r w:rsidRPr="00C94F2E"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  <w:t xml:space="preserve"> القضائــــــــــــــي.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DZ"/>
        </w:rPr>
        <w:tab/>
      </w:r>
      <w:r w:rsidRPr="00984B08"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  <w:t xml:space="preserve">نتناول في </w:t>
      </w:r>
      <w:proofErr w:type="spellStart"/>
      <w:r w:rsidRPr="00984B08"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  <w:t>هاته</w:t>
      </w:r>
      <w:proofErr w:type="spellEnd"/>
      <w:r w:rsidRPr="00984B08"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  <w:t xml:space="preserve"> المحاضرة 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تعريف الطلبة الأعزاء بقواعد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القضائي وبنوعيه الإقليمي و النوعي، طبيعة كل منهما في القضاء العادي والقضاء الإداري، وكذلك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الدعاوى المرفوعة ضد أو من الأجانب، وكذلك عندما يكون أحد أطراف الدعوى والخصومة قاضيا، وكذلك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فيما يتعلق بتنفيذ السندات الأجنبية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وكل ذلك وفق العرض الآتــي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8C0434" w:rsidRDefault="008C0434" w:rsidP="008C0434">
      <w:pPr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 الثاني:-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قواعد </w:t>
      </w:r>
      <w:proofErr w:type="spellStart"/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الإختصاص</w:t>
      </w:r>
      <w:proofErr w:type="spellEnd"/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القضائي وقواعد الإجراءات:-</w:t>
      </w:r>
    </w:p>
    <w:p w:rsidR="008C0434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المطلب الأول:- قواعد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الإختصاص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القضائي :-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الإختصاص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القضائي نوعان إقليمي أو محلي و نوعي أو مادي.</w:t>
      </w:r>
    </w:p>
    <w:p w:rsidR="008C0434" w:rsidRDefault="008C0434" w:rsidP="008C0434">
      <w:pPr>
        <w:bidi/>
        <w:ind w:left="708" w:firstLine="708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الفرع الأول:-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الإختصاص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الإقليمي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>
        <w:rPr>
          <w:b/>
          <w:bCs/>
          <w:i/>
          <w:iCs/>
          <w:lang w:bidi="ar-DZ"/>
        </w:rPr>
        <w:t>Compétence</w:t>
      </w:r>
      <w:proofErr w:type="spellEnd"/>
      <w:r>
        <w:rPr>
          <w:b/>
          <w:bCs/>
          <w:i/>
          <w:iCs/>
          <w:lang w:bidi="ar-DZ"/>
        </w:rPr>
        <w:t xml:space="preserve"> </w:t>
      </w:r>
      <w:proofErr w:type="spellStart"/>
      <w:r>
        <w:rPr>
          <w:b/>
          <w:bCs/>
          <w:i/>
          <w:iCs/>
          <w:lang w:bidi="ar-DZ"/>
        </w:rPr>
        <w:t>térritoriale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:-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ab/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نصت على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الإقليمي المواد 37، 38، 39 و 40 من ق.إ.م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وإ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وقد نصت المادتين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الأولتين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القاعدة العامة في تحديد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بالمحكمة الواقعة في نطاق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إختصاصها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بموطن المدعى عليه، وإن تعددوا فيؤول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لمحكمة موطن أحدهم، وهذا إعمالا لمبدأ عام مفاده أن "الدين مطلوب وليس محمول"، كما أحالت المادة 803 من نفس القانون فيما يتعلق بالمنازعات الإدارية على ذات المادتين آخذة بنفس الحكم ، فيما نصت المادة 39 على إمكانية عقد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لأكثر من محكمة على سبيل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الإختيار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إذا تعلق الأمر بنوع محدد من المواد أو المنازعات، فيما نصت المادتين 40 و 804 على عقد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المانع لبعض الجهات القضائية دون سواها، كما يؤول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الإقليمي للمحكمة الإدارية بالنظر في الطلبات العارضة إذا كانت هي المختصة إقليميا بالنظر في الطلبات الأصلية، وكذلك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الدفوع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تكون من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المحكمة الإدارية، وهو ما تقضي به المادة 805.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وبهذا المعنى فإن قواعد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الإقليمي ترمي إلى تعيين الدائرة الجغرافية للمحكمة أو الجهة التي يؤول إليها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الفصل من حيث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تموقع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القضية بعد معرفة المدعي للقسم المختص نوعيا بدعواه.  </w:t>
      </w:r>
    </w:p>
    <w:p w:rsidR="008C0434" w:rsidRPr="00984B08" w:rsidRDefault="008C0434" w:rsidP="008C0434">
      <w:pPr>
        <w:bidi/>
        <w:ind w:left="708"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الفرع الثاني:-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النوعي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84B08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  <w:t>Compétence</w:t>
      </w:r>
      <w:proofErr w:type="spellEnd"/>
      <w:r w:rsidRPr="00984B08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Pr="00984B08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  <w:t>d’attribution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:- 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حدد قانون الإجراءات المدنية والإدارية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النوعي لكل من المحاكم و المجالس القضائية و مجلس الدولة، وتتلخص هذه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الإختصاصات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يلي:</w:t>
      </w:r>
    </w:p>
    <w:p w:rsidR="008C0434" w:rsidRDefault="008C0434" w:rsidP="008C0434">
      <w:pPr>
        <w:bidi/>
        <w:ind w:left="151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أولاً :-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المحاكم العادية والمحاكم الإدارية:- 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نصت الما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دة 11 من القانون العضوي المتعلق</w:t>
      </w:r>
    </w:p>
    <w:p w:rsidR="008C0434" w:rsidRPr="00DB3846" w:rsidRDefault="008C0434" w:rsidP="008C043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بقواعد التنظيم القضائي</w:t>
      </w:r>
      <w:r w:rsidRPr="00984B08"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DZ"/>
        </w:rPr>
        <w:t>(1)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المحاكم العادية محيلة في ذلك على نص المادة 32 من قانون الإجراءات المدنية والإدارية</w:t>
      </w:r>
      <w:r w:rsidRPr="00984B08"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DZ"/>
        </w:rPr>
        <w:t>(2)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مفادها أن </w:t>
      </w: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"المحكمة هي الجهة القضائية ذات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العام و تتشكل من أقسام.</w:t>
      </w:r>
    </w:p>
    <w:p w:rsidR="008C0434" w:rsidRDefault="008C0434" w:rsidP="008C0434">
      <w:pPr>
        <w:bidi/>
        <w:ind w:firstLine="708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يمكن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أيضا أن تتشكل من أقطاب متخصصة.</w:t>
      </w:r>
    </w:p>
    <w:p w:rsidR="008C0434" w:rsidRPr="00984B08" w:rsidRDefault="008C0434" w:rsidP="008C0434">
      <w:pPr>
        <w:bidi/>
        <w:ind w:left="151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تفصل المحكمة في جميع القضايا، لاسيما المدنية والتجارية والبحرية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والإجتماعية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والعقارية وقضايا شؤون الأسرة..</w:t>
      </w:r>
    </w:p>
    <w:p w:rsidR="008C0434" w:rsidRDefault="008C0434" w:rsidP="008C0434">
      <w:p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0434" w:rsidRDefault="008C0434" w:rsidP="008C0434">
      <w:pPr>
        <w:bidi/>
        <w:jc w:val="both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vertAlign w:val="superscript"/>
          <w:rtl/>
          <w:lang w:bidi="ar-DZ"/>
        </w:rPr>
        <w:t>(1)</w:t>
      </w:r>
      <w:r>
        <w:rPr>
          <w:rFonts w:ascii="Traditional Arabic" w:hAnsi="Traditional Arabic" w:cs="Traditional Arabic"/>
          <w:sz w:val="26"/>
          <w:szCs w:val="26"/>
          <w:rtl/>
          <w:lang w:bidi="ar-DZ"/>
        </w:rPr>
        <w:t>- القانون العضوي رقم 05/11المؤرخ في 17 يوليو 2005، ج ر عدد 51.</w:t>
      </w:r>
    </w:p>
    <w:p w:rsidR="008C0434" w:rsidRDefault="008C0434" w:rsidP="008C0434">
      <w:pPr>
        <w:bidi/>
        <w:jc w:val="both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vertAlign w:val="superscript"/>
          <w:rtl/>
          <w:lang w:bidi="ar-DZ"/>
        </w:rPr>
        <w:t>(2)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القانون رقم 08/09 المؤرخ في 25 فبراير 2008، ج ر عدد 21.  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فيما تختص الأقطاب المتخصصة المنعقدة في بعض المحاكم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إختصاصا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مانعا أو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حصريا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بعض المنازعات المحددة.  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حين تنص المادة 33 من نفس القانون على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القيمي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للمحاكم محددة لها النصاب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الإبتدائي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الإنتهائي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الدعاوى التي لا تتجاوز قيمتها مائتي ألف دينار (200.000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دج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)، وأن العبرة في تحديد قيمة الدعوى هي بالطلبات الأصلية التي يقدمها المدعي، فيما تفصل في جميع الدعاوى الأخرى بأحكام قابلة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للإستئناف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فيما تعتبر المحاكم الإدارية من جهتها بمفهوم نص المادة 800 من ق.إ.م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وإ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بإعتمادها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المعيار العضوي هي جهات الولاية العامة في المنازعات الإدارية، وتختص حينئذٍ بالفصل في أول درجة بحكم قابل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للإستئناف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، في جميع القضايا التي تكون الدولة أو الولاية أو البلدية أو إحدى المؤسسات العمومية ذات الصبغة الإدارية طرفا فيها.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 بتبني المادة 801 للمعيار الموضوعي بارتباطه بالمعيار العضوي فتختص المحاكم الإدارية بالفصل في :</w:t>
      </w:r>
    </w:p>
    <w:p w:rsidR="008C0434" w:rsidRPr="00984B08" w:rsidRDefault="008C0434" w:rsidP="008C0434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دعاوى</w:t>
      </w:r>
      <w:proofErr w:type="gram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إلغاء القرارات الإدارية، الدعاوى التفسيرية، ودعاوى فحص المشروعية للقرارات الصادرة عن:</w:t>
      </w:r>
    </w:p>
    <w:p w:rsidR="008C0434" w:rsidRPr="00984B08" w:rsidRDefault="008C0434" w:rsidP="008C0434">
      <w:pPr>
        <w:numPr>
          <w:ilvl w:val="0"/>
          <w:numId w:val="9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الولاية والمصالح غير الممركزة للدولة على مستوى الولاية ( مديريات التربية والجامعات...).</w:t>
      </w:r>
    </w:p>
    <w:p w:rsidR="008C0434" w:rsidRPr="00984B08" w:rsidRDefault="008C0434" w:rsidP="008C0434">
      <w:pPr>
        <w:numPr>
          <w:ilvl w:val="0"/>
          <w:numId w:val="9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البلدية والمصالح الإدارية الأخرى للبلدية، مثل ملحقات الحالة المدنية...</w:t>
      </w:r>
    </w:p>
    <w:p w:rsidR="008C0434" w:rsidRPr="00984B08" w:rsidRDefault="008C0434" w:rsidP="008C0434">
      <w:pPr>
        <w:numPr>
          <w:ilvl w:val="0"/>
          <w:numId w:val="10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المؤسسات العمومية المحلية ذات الصبغة الإدارية.</w:t>
      </w:r>
    </w:p>
    <w:p w:rsidR="008C0434" w:rsidRDefault="008C0434" w:rsidP="008C0434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دعاوى القضاء الكامل( كدعاوى المسؤولية الإدارية، منازعات نزع الملكية للمنفعة العامة، الصفقات 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العمومية، منازعات التعدي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والإستيلاء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الوظيف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العمومي، الترقيم العقاري النهائي، الأشغال العمومية، وبعض منازعات الضمان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الإجتماعي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والقضايا المخولة لها بموجب نصوص خاصة. 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بينما تستثنى بعض المنازعات من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المحاكم الإدارية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إعتمادا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للمعيار الموضوعي، ويرجع فيها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للمحاكم العادية بحسب نص المادة 802 خلافا لأحكام المادتين 800 و 801،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وهاته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المنازعات هي:</w:t>
      </w:r>
    </w:p>
    <w:p w:rsidR="008C0434" w:rsidRDefault="008C0434" w:rsidP="008C0434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مخالفات الطرق ( تحطيم الطرق العمومية،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إستخراج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الرمل من الشواطئ، تحطيم الحواجز الحديدية الموضوعة 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على الطرقات، تلويث المياه،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الإحتلال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غير الشرعي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للدومين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العام، تحطيم الأعمدة وإشارات المرور...  </w:t>
      </w:r>
    </w:p>
    <w:p w:rsidR="008C0434" w:rsidRDefault="008C0434" w:rsidP="008C0434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المنازعات المتعلقة بالتعويض عن حوادث المرور التي تتسبب فيها </w:t>
      </w:r>
      <w:proofErr w:type="gram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مركبة</w:t>
      </w:r>
      <w:proofErr w:type="gram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تابعة للإدارة، ويرجع السبب في 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ذلك 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أننا أمام قانون واحد يطبق على الحادث المتمخض من قواعد المسؤولية المدنية عن فعل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الشيئ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الجامد.     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  <w:t xml:space="preserve">ثانياً :-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المجالس القضائية ومجلس الدولة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تكريسًا لمبدأ التقاضي على درجتين يختص القضائي بالنظر في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إستئناف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الأحكام الصادرة عن المحاكم في الدرجة الأولى وفي جميع المواد، حتى ولو كان وصفها خاطئاً.</w:t>
      </w:r>
    </w:p>
    <w:p w:rsidR="008C0434" w:rsidRPr="00984B08" w:rsidRDefault="008C0434" w:rsidP="008C043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كما يختص المجلس القضائي بالفصل في الطلبات المتعلقة بتنازع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بين القضاة إذا كان النزاع متعلقاً بجهتين قضائيتين واقعتين في دائرة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إختصاصه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وكذلك في طلبات الردّ ضد قضاة المحاكم التابعة لدائرة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إختصاصه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  </w:t>
      </w:r>
    </w:p>
    <w:p w:rsidR="008C0434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بينما نصت المواد 901، 902 و903 على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النوعي لمجلس الدولة، فبينت المادة الأولى ذلك باعتباره كقاضي أول وآخر درجة فيما يخص نوع من الدعاوى، بينما عقدت له الثانية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بصفته قاضيا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للإستئناف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للأحكام و الأوامر الصادرة عن المحاكم الإدارية</w:t>
      </w: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حين منحته الثالثة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إختصاصاً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بصفته قاضيا للنقض</w:t>
      </w:r>
      <w:r w:rsidRPr="00984B08"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DZ"/>
        </w:rPr>
        <w:t>(1)</w:t>
      </w: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8C0434" w:rsidRDefault="008C0434" w:rsidP="008C0434">
      <w:p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0434" w:rsidRDefault="008C0434" w:rsidP="008C043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vertAlign w:val="superscript"/>
          <w:rtl/>
          <w:lang w:bidi="ar-DZ"/>
        </w:rPr>
        <w:lastRenderedPageBreak/>
        <w:t>(1)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وفي ذلك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تطبيق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لنصوص المواد 09، 10، 11 من القانون العضوي رقم 98/01 المتعلق بمجلس الدولة.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المطلب الثاني: الطبيعة القانونية لقواعد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  <w:t xml:space="preserve">الفرع الأول: فيما يتعلق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بالإختصاص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الإقليمي: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- يُسْتَشَفّ من نصي المادتين 46 و 47 من ق.إ.م.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وإ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الإقليمي ليس من النظام العام ونتيجة لذلك أمكن للأطراف مخالفته بالمثول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إختياريا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أمام جهة قضائية غير تلك المختصة إقليميا وتقديم تصريح بطلب التقاضي أمامها، وتكون المحكمة بذلك مختصة طيلة الخصومة وكذلك المجلس القضائي التابعة له في حالة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الإستئناف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كما أن إثارة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الدفوع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بشأنه يجب أن تُقَدّم قبل أي دفاع في الموضوع أو دفع بعدم القبول، وعلى عكس من ذلك فإن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الإقليمي للمحاكم الإدارية هو من النظام العام وتجب إثارته في أية مرحلة كانت عليها الدعوى، كما يثار تلقائيا من طرف القاضي مثله في ذلك مثل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النوعي تماماً، وبذلك نصت المادة 807 من ق.إ.م.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وإ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8C0434" w:rsidRPr="00984B08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  <w:t xml:space="preserve">الفرع الثاني:- فيما يتعلق </w:t>
      </w:r>
      <w:proofErr w:type="spellStart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بالإختصاص</w:t>
      </w:r>
      <w:proofErr w:type="spellEnd"/>
      <w:r w:rsidRPr="00984B0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النوعي:</w:t>
      </w:r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- بدورها نصت المادة 36 من ق.إ.م.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وإ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بأن عدم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النوعي من النظام العام، تقضي به الجهة القضائية تلقائيا في أية مرحلة كانت عليها الدعوى، وهي بذلك تتجانس مع نفس الحكم لنص المادة 807 من نفس القانون فيما يتعلق </w:t>
      </w:r>
      <w:proofErr w:type="spellStart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>بالإختصاص</w:t>
      </w:r>
      <w:proofErr w:type="spellEnd"/>
      <w:r w:rsidRPr="00984B0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النوعي لجهات القضاء الإداري.</w:t>
      </w:r>
    </w:p>
    <w:p w:rsidR="008C0434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8C0434" w:rsidRDefault="008C0434" w:rsidP="008C043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</w:p>
    <w:p w:rsidR="008C0434" w:rsidRDefault="008C0434" w:rsidP="008C0434">
      <w:pPr>
        <w:bidi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DZ"/>
        </w:rPr>
        <w:tab/>
      </w:r>
    </w:p>
    <w:p w:rsidR="008C0434" w:rsidRDefault="008C0434" w:rsidP="008C0434">
      <w:pPr>
        <w:bidi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DZ"/>
        </w:rPr>
      </w:pPr>
    </w:p>
    <w:p w:rsidR="008C0434" w:rsidRDefault="008C0434" w:rsidP="008C0434">
      <w:pPr>
        <w:bidi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DZ"/>
        </w:rPr>
      </w:pPr>
    </w:p>
    <w:p w:rsidR="008C0434" w:rsidRDefault="008C0434" w:rsidP="008C0434">
      <w:pPr>
        <w:bidi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DZ"/>
        </w:rPr>
      </w:pPr>
    </w:p>
    <w:p w:rsidR="008C0434" w:rsidRDefault="008C0434" w:rsidP="008C0434">
      <w:pPr>
        <w:bidi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DZ"/>
        </w:rPr>
      </w:pPr>
    </w:p>
    <w:p w:rsidR="00EB3ADD" w:rsidRPr="009F3CFB" w:rsidRDefault="00EB3ADD" w:rsidP="005D4FFA">
      <w:pPr>
        <w:rPr>
          <w:sz w:val="36"/>
          <w:rtl/>
          <w:lang w:bidi="ar-DZ"/>
        </w:rPr>
      </w:pPr>
    </w:p>
    <w:sectPr w:rsidR="00EB3ADD" w:rsidRPr="009F3CFB" w:rsidSect="00EB3ADD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EA6"/>
    <w:multiLevelType w:val="hybridMultilevel"/>
    <w:tmpl w:val="FB08FBFA"/>
    <w:lvl w:ilvl="0" w:tplc="94CAAACC">
      <w:start w:val="11"/>
      <w:numFmt w:val="bullet"/>
      <w:lvlText w:val="-"/>
      <w:lvlJc w:val="left"/>
      <w:pPr>
        <w:ind w:left="1773" w:hanging="360"/>
      </w:pPr>
      <w:rPr>
        <w:rFonts w:ascii="Traditional Arabic" w:eastAsia="Times New Roman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C6BC4"/>
    <w:multiLevelType w:val="hybridMultilevel"/>
    <w:tmpl w:val="949CC3B0"/>
    <w:lvl w:ilvl="0" w:tplc="9FC607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05F7"/>
    <w:multiLevelType w:val="hybridMultilevel"/>
    <w:tmpl w:val="5B843176"/>
    <w:lvl w:ilvl="0" w:tplc="CA42D4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721F"/>
    <w:multiLevelType w:val="hybridMultilevel"/>
    <w:tmpl w:val="70EA3600"/>
    <w:lvl w:ilvl="0" w:tplc="CD7C968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CF7"/>
    <w:multiLevelType w:val="hybridMultilevel"/>
    <w:tmpl w:val="564AE362"/>
    <w:lvl w:ilvl="0" w:tplc="3CF4E88E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1E3B"/>
    <w:multiLevelType w:val="hybridMultilevel"/>
    <w:tmpl w:val="7EB09142"/>
    <w:lvl w:ilvl="0" w:tplc="F7CC15DE">
      <w:start w:val="1"/>
      <w:numFmt w:val="decimal"/>
      <w:lvlText w:val="(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F7F08"/>
    <w:multiLevelType w:val="hybridMultilevel"/>
    <w:tmpl w:val="705E68A2"/>
    <w:lvl w:ilvl="0" w:tplc="A38CB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2730"/>
    <w:multiLevelType w:val="hybridMultilevel"/>
    <w:tmpl w:val="31ACF6D2"/>
    <w:lvl w:ilvl="0" w:tplc="C4441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870C8"/>
    <w:multiLevelType w:val="hybridMultilevel"/>
    <w:tmpl w:val="C96E1C4A"/>
    <w:lvl w:ilvl="0" w:tplc="510EFFE6">
      <w:start w:val="2"/>
      <w:numFmt w:val="bullet"/>
      <w:lvlText w:val=""/>
      <w:lvlJc w:val="left"/>
      <w:pPr>
        <w:ind w:left="2133" w:hanging="360"/>
      </w:pPr>
      <w:rPr>
        <w:rFonts w:ascii="Symbol" w:eastAsia="Times New Roman" w:hAnsi="Symbol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515"/>
    <w:rsid w:val="000455C7"/>
    <w:rsid w:val="000504DA"/>
    <w:rsid w:val="00277E86"/>
    <w:rsid w:val="003D7D58"/>
    <w:rsid w:val="003E3F26"/>
    <w:rsid w:val="005002FA"/>
    <w:rsid w:val="00540CA4"/>
    <w:rsid w:val="005747B7"/>
    <w:rsid w:val="005D4FFA"/>
    <w:rsid w:val="006527CF"/>
    <w:rsid w:val="0067473E"/>
    <w:rsid w:val="007C6F15"/>
    <w:rsid w:val="008C0434"/>
    <w:rsid w:val="00970775"/>
    <w:rsid w:val="009F3CFB"/>
    <w:rsid w:val="00B20C2C"/>
    <w:rsid w:val="00C16643"/>
    <w:rsid w:val="00D83A8D"/>
    <w:rsid w:val="00E03B06"/>
    <w:rsid w:val="00E0454A"/>
    <w:rsid w:val="00E73DDE"/>
    <w:rsid w:val="00EB2515"/>
    <w:rsid w:val="00EB3ADD"/>
    <w:rsid w:val="00F36E9A"/>
    <w:rsid w:val="00F7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FB"/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tevest</cp:lastModifiedBy>
  <cp:revision>4</cp:revision>
  <dcterms:created xsi:type="dcterms:W3CDTF">2020-04-20T12:14:00Z</dcterms:created>
  <dcterms:modified xsi:type="dcterms:W3CDTF">2020-04-20T12:26:00Z</dcterms:modified>
</cp:coreProperties>
</file>