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752" w:rsidRDefault="00C06752" w:rsidP="00C06752">
      <w:pPr>
        <w:bidi/>
        <w:rPr>
          <w:rFonts w:ascii="Traditional Arabic" w:hAnsi="Traditional Arabic" w:cs="Traditional Arabic" w:hint="cs"/>
          <w:sz w:val="32"/>
          <w:szCs w:val="32"/>
          <w:rtl/>
        </w:rPr>
      </w:pPr>
      <w:r>
        <w:rPr>
          <w:rFonts w:ascii="Traditional Arabic" w:hAnsi="Traditional Arabic" w:cs="Traditional Arabic" w:hint="cs"/>
          <w:noProof/>
          <w:sz w:val="32"/>
          <w:szCs w:val="32"/>
          <w:rtl/>
        </w:rPr>
        <w:pict>
          <v:rect id="_x0000_s2050" style="position:absolute;left:0;text-align:left;margin-left:-34.3pt;margin-top:7.15pt;width:502pt;height:36.9pt;z-index:251658240" fillcolor="#eaf1dd [662]">
            <v:textbox style="mso-next-textbox:#_x0000_s2050">
              <w:txbxContent>
                <w:p w:rsidR="00C06752" w:rsidRDefault="00C06752" w:rsidP="00C378D2">
                  <w:pPr>
                    <w:bidi/>
                    <w:jc w:val="center"/>
                    <w:rPr>
                      <w:rFonts w:ascii="Traditional Arabic" w:hAnsi="Traditional Arabic" w:cs="Traditional Arabic"/>
                      <w:sz w:val="32"/>
                      <w:szCs w:val="32"/>
                      <w:rtl/>
                    </w:rPr>
                  </w:pPr>
                  <w:r>
                    <w:rPr>
                      <w:rFonts w:ascii="Traditional Arabic" w:hAnsi="Traditional Arabic" w:cs="Traditional Arabic" w:hint="cs"/>
                      <w:sz w:val="36"/>
                      <w:szCs w:val="36"/>
                      <w:rtl/>
                    </w:rPr>
                    <w:t xml:space="preserve">المحور 4: </w:t>
                  </w:r>
                  <w:r>
                    <w:rPr>
                      <w:rFonts w:ascii="Traditional Arabic" w:hAnsi="Traditional Arabic" w:cs="Traditional Arabic" w:hint="cs"/>
                      <w:b/>
                      <w:bCs/>
                      <w:sz w:val="32"/>
                      <w:szCs w:val="32"/>
                      <w:rtl/>
                    </w:rPr>
                    <w:t xml:space="preserve">الخلفية المعرفية  لمصطلح </w:t>
                  </w:r>
                  <w:r w:rsidRPr="00C5695E">
                    <w:rPr>
                      <w:rFonts w:ascii="Traditional Arabic" w:hAnsi="Traditional Arabic" w:cs="Traditional Arabic" w:hint="cs"/>
                      <w:b/>
                      <w:bCs/>
                      <w:sz w:val="32"/>
                      <w:szCs w:val="32"/>
                      <w:rtl/>
                    </w:rPr>
                    <w:t>رؤية العالم</w:t>
                  </w:r>
                  <w:r>
                    <w:rPr>
                      <w:rFonts w:ascii="Traditional Arabic" w:hAnsi="Traditional Arabic" w:cs="Traditional Arabic" w:hint="cs"/>
                      <w:b/>
                      <w:bCs/>
                      <w:sz w:val="32"/>
                      <w:szCs w:val="32"/>
                      <w:rtl/>
                    </w:rPr>
                    <w:t xml:space="preserve"> لدى غولدمان </w:t>
                  </w:r>
                  <w:r>
                    <w:rPr>
                      <w:rFonts w:ascii="Traditional Arabic" w:hAnsi="Traditional Arabic" w:cs="Traditional Arabic" w:hint="cs"/>
                      <w:sz w:val="32"/>
                      <w:szCs w:val="32"/>
                      <w:rtl/>
                    </w:rPr>
                    <w:t xml:space="preserve"> </w:t>
                  </w:r>
                </w:p>
                <w:p w:rsidR="00C06752" w:rsidRPr="00680DF6" w:rsidRDefault="00C06752" w:rsidP="00C06752">
                  <w:pPr>
                    <w:bidi/>
                    <w:jc w:val="center"/>
                    <w:rPr>
                      <w:rFonts w:ascii="Traditional Arabic" w:hAnsi="Traditional Arabic" w:cs="Traditional Arabic"/>
                      <w:b/>
                      <w:bCs/>
                      <w:sz w:val="32"/>
                      <w:szCs w:val="32"/>
                      <w:rtl/>
                    </w:rPr>
                  </w:pPr>
                </w:p>
                <w:p w:rsidR="00C06752" w:rsidRDefault="00C06752" w:rsidP="00C06752">
                  <w:pPr>
                    <w:bidi/>
                    <w:jc w:val="center"/>
                    <w:rPr>
                      <w:rFonts w:ascii="Traditional Arabic" w:hAnsi="Traditional Arabic" w:cs="Traditional Arabic"/>
                      <w:sz w:val="36"/>
                      <w:szCs w:val="36"/>
                      <w:rtl/>
                    </w:rPr>
                  </w:pPr>
                </w:p>
                <w:p w:rsidR="00C06752" w:rsidRDefault="00C06752" w:rsidP="00C06752"/>
              </w:txbxContent>
            </v:textbox>
          </v:rect>
        </w:pict>
      </w:r>
      <w:r>
        <w:rPr>
          <w:rFonts w:ascii="Traditional Arabic" w:hAnsi="Traditional Arabic" w:cs="Traditional Arabic" w:hint="cs"/>
          <w:sz w:val="32"/>
          <w:szCs w:val="32"/>
          <w:rtl/>
        </w:rPr>
        <w:t xml:space="preserve">    </w:t>
      </w:r>
    </w:p>
    <w:p w:rsidR="00C06752" w:rsidRDefault="00C06752" w:rsidP="00C06752">
      <w:pPr>
        <w:bidi/>
        <w:rPr>
          <w:rFonts w:ascii="Traditional Arabic" w:hAnsi="Traditional Arabic" w:cs="Traditional Arabic" w:hint="cs"/>
          <w:sz w:val="32"/>
          <w:szCs w:val="32"/>
          <w:rtl/>
        </w:rPr>
      </w:pP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تعد مقولة رؤية العالم أهم مقولات البنيوية التكوينية ، وقد أسس عليها </w:t>
      </w:r>
      <w:r w:rsidRPr="007D7ED6">
        <w:rPr>
          <w:rFonts w:ascii="Traditional Arabic" w:hAnsi="Traditional Arabic" w:cs="Traditional Arabic" w:hint="cs"/>
          <w:b/>
          <w:bCs/>
          <w:sz w:val="32"/>
          <w:szCs w:val="32"/>
          <w:rtl/>
        </w:rPr>
        <w:t>لوسيان غولدمان</w:t>
      </w:r>
      <w:r>
        <w:rPr>
          <w:rFonts w:ascii="Traditional Arabic" w:hAnsi="Traditional Arabic" w:cs="Traditional Arabic" w:hint="cs"/>
          <w:sz w:val="32"/>
          <w:szCs w:val="32"/>
          <w:rtl/>
        </w:rPr>
        <w:t xml:space="preserve"> منهجه النقدي على خلفية فلسفية ماركسية، لكن برؤية جديدة، دليلها هو الانتشار واسع الأفق الذي عرفته البنيوية التكوينية، وتمكنها من تحقيق نتائج على المستوى التطبيقي في تناول النصوص الأدبية .</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إن ما تريد رؤية العالم قوله في مختلف تجلياتها كمقولة أساسية هو أنه لا يمكن التصور بأن النص ظاهرة معزولة، عن البنية الاجتماعية التي نشأت فيهاـ، حيث لا يمكن الاقتصار على البنية الداخلية للنص فقط، ولهذا فإن الهدف الأساس التي جاءت رؤية العالم لتعالجه هو نفسه الهدف الذي قصد إليه كل السوسيولوجيون الذين سبقوا تاريخيا  </w:t>
      </w:r>
      <w:r w:rsidRPr="00C5695E">
        <w:rPr>
          <w:rFonts w:ascii="Traditional Arabic" w:hAnsi="Traditional Arabic" w:cs="Traditional Arabic" w:hint="cs"/>
          <w:b/>
          <w:bCs/>
          <w:sz w:val="32"/>
          <w:szCs w:val="32"/>
          <w:rtl/>
        </w:rPr>
        <w:t>لوسيان غولدمان</w:t>
      </w:r>
      <w:r>
        <w:rPr>
          <w:rFonts w:ascii="Traditional Arabic" w:hAnsi="Traditional Arabic" w:cs="Traditional Arabic" w:hint="cs"/>
          <w:sz w:val="32"/>
          <w:szCs w:val="32"/>
          <w:rtl/>
        </w:rPr>
        <w:t xml:space="preserve"> ، وهي مقولة جاءت لتحل محل مفهوم الانعكاس الآلي . وتتميز رؤية العالم ب: </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1/ </w:t>
      </w:r>
      <w:r w:rsidRPr="007D7ED6">
        <w:rPr>
          <w:rFonts w:ascii="Traditional Arabic" w:hAnsi="Traditional Arabic" w:cs="Traditional Arabic" w:hint="cs"/>
          <w:b/>
          <w:bCs/>
          <w:sz w:val="32"/>
          <w:szCs w:val="32"/>
          <w:rtl/>
        </w:rPr>
        <w:t>الطبيعة الجدلية:</w:t>
      </w:r>
      <w:r>
        <w:rPr>
          <w:rFonts w:ascii="Traditional Arabic" w:hAnsi="Traditional Arabic" w:cs="Traditional Arabic" w:hint="cs"/>
          <w:sz w:val="32"/>
          <w:szCs w:val="32"/>
          <w:rtl/>
        </w:rPr>
        <w:t xml:space="preserve"> قائمة بين الفردية / والجماعية ، الفردية تمثل إبداع الفرد ( المؤلف) ، والجماعة تمثل المحيط الاجتماعي الذي نشأ فيه ، وتكمن الجدلية في التساؤل الجوهري يكمن في الدور الذي تمثله الجماعة التي تتحرك خلف الفرد المبدع لكونه عنصرا منها ، وكذا كيفية تماهيها في عمله الإبداعي ، وطبيعة العلاقة القائمة بينهما .</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2/ </w:t>
      </w:r>
      <w:r w:rsidRPr="007D7ED6">
        <w:rPr>
          <w:rFonts w:ascii="Traditional Arabic" w:hAnsi="Traditional Arabic" w:cs="Traditional Arabic" w:hint="cs"/>
          <w:b/>
          <w:bCs/>
          <w:sz w:val="32"/>
          <w:szCs w:val="32"/>
          <w:rtl/>
        </w:rPr>
        <w:t>الطبيعة التناظرية</w:t>
      </w:r>
      <w:r>
        <w:rPr>
          <w:rFonts w:ascii="Traditional Arabic" w:hAnsi="Traditional Arabic" w:cs="Traditional Arabic" w:hint="cs"/>
          <w:sz w:val="32"/>
          <w:szCs w:val="32"/>
          <w:rtl/>
        </w:rPr>
        <w:t xml:space="preserve"> :</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 </w:t>
      </w:r>
      <w:r w:rsidRPr="00B307FA">
        <w:rPr>
          <w:rFonts w:ascii="Traditional Arabic" w:hAnsi="Traditional Arabic" w:cs="Traditional Arabic" w:hint="cs"/>
          <w:b/>
          <w:bCs/>
          <w:sz w:val="32"/>
          <w:szCs w:val="32"/>
          <w:rtl/>
        </w:rPr>
        <w:t>التناظر بين الواقعي والروائي</w:t>
      </w:r>
      <w:r>
        <w:rPr>
          <w:rFonts w:ascii="Traditional Arabic" w:hAnsi="Traditional Arabic" w:cs="Traditional Arabic" w:hint="cs"/>
          <w:b/>
          <w:bCs/>
          <w:sz w:val="32"/>
          <w:szCs w:val="32"/>
          <w:rtl/>
        </w:rPr>
        <w:t xml:space="preserve"> </w:t>
      </w:r>
      <w:r w:rsidRPr="00B307FA">
        <w:rPr>
          <w:rFonts w:ascii="Traditional Arabic" w:hAnsi="Traditional Arabic" w:cs="Traditional Arabic" w:hint="cs"/>
          <w:b/>
          <w:bCs/>
          <w:sz w:val="32"/>
          <w:szCs w:val="32"/>
          <w:rtl/>
        </w:rPr>
        <w:t>( بين البنيتين التحتية والفوقية )</w:t>
      </w:r>
      <w:r>
        <w:rPr>
          <w:rFonts w:ascii="Traditional Arabic" w:hAnsi="Traditional Arabic" w:cs="Traditional Arabic" w:hint="cs"/>
          <w:sz w:val="32"/>
          <w:szCs w:val="32"/>
          <w:rtl/>
        </w:rPr>
        <w:t xml:space="preserve"> : سيرا على خطى أستاذه </w:t>
      </w:r>
      <w:r w:rsidRPr="00B307FA">
        <w:rPr>
          <w:rFonts w:ascii="Traditional Arabic" w:hAnsi="Traditional Arabic" w:cs="Traditional Arabic" w:hint="cs"/>
          <w:b/>
          <w:bCs/>
          <w:sz w:val="32"/>
          <w:szCs w:val="32"/>
          <w:rtl/>
        </w:rPr>
        <w:t>لوكاتش</w:t>
      </w:r>
      <w:r>
        <w:rPr>
          <w:rFonts w:ascii="Traditional Arabic" w:hAnsi="Traditional Arabic" w:cs="Traditional Arabic" w:hint="cs"/>
          <w:sz w:val="32"/>
          <w:szCs w:val="32"/>
          <w:rtl/>
        </w:rPr>
        <w:t xml:space="preserve"> ومن قبله </w:t>
      </w:r>
      <w:r w:rsidRPr="00B307FA">
        <w:rPr>
          <w:rFonts w:ascii="Traditional Arabic" w:hAnsi="Traditional Arabic" w:cs="Traditional Arabic" w:hint="cs"/>
          <w:b/>
          <w:bCs/>
          <w:sz w:val="32"/>
          <w:szCs w:val="32"/>
          <w:rtl/>
        </w:rPr>
        <w:t>ماركس</w:t>
      </w:r>
      <w:r>
        <w:rPr>
          <w:rFonts w:ascii="Traditional Arabic" w:hAnsi="Traditional Arabic" w:cs="Traditional Arabic" w:hint="cs"/>
          <w:sz w:val="32"/>
          <w:szCs w:val="32"/>
          <w:rtl/>
        </w:rPr>
        <w:t xml:space="preserve"> ، يقيم </w:t>
      </w:r>
      <w:r w:rsidRPr="00B307FA">
        <w:rPr>
          <w:rFonts w:ascii="Traditional Arabic" w:hAnsi="Traditional Arabic" w:cs="Traditional Arabic" w:hint="cs"/>
          <w:b/>
          <w:bCs/>
          <w:sz w:val="32"/>
          <w:szCs w:val="32"/>
          <w:rtl/>
        </w:rPr>
        <w:t>غولدمان</w:t>
      </w:r>
      <w:r>
        <w:rPr>
          <w:rFonts w:ascii="Traditional Arabic" w:hAnsi="Traditional Arabic" w:cs="Traditional Arabic" w:hint="cs"/>
          <w:sz w:val="32"/>
          <w:szCs w:val="32"/>
          <w:rtl/>
        </w:rPr>
        <w:t xml:space="preserve"> تناظرا بين البنية الروائية الفنية والبنية الاقتصادية للمجتمع الاقتصادية للمجتمع وتطور الثانية مرهون بالأولى.</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ب/ </w:t>
      </w:r>
      <w:r w:rsidRPr="00B307FA">
        <w:rPr>
          <w:rFonts w:ascii="Traditional Arabic" w:hAnsi="Traditional Arabic" w:cs="Traditional Arabic" w:hint="cs"/>
          <w:b/>
          <w:bCs/>
          <w:sz w:val="32"/>
          <w:szCs w:val="32"/>
          <w:rtl/>
        </w:rPr>
        <w:t>التناظر بين البنية الفكرية والاجتماعية</w:t>
      </w:r>
      <w:r>
        <w:rPr>
          <w:rFonts w:ascii="Traditional Arabic" w:hAnsi="Traditional Arabic" w:cs="Traditional Arabic" w:hint="cs"/>
          <w:sz w:val="32"/>
          <w:szCs w:val="32"/>
          <w:rtl/>
        </w:rPr>
        <w:t xml:space="preserve"> : يبرز </w:t>
      </w:r>
      <w:r w:rsidRPr="00901F77">
        <w:rPr>
          <w:rFonts w:ascii="Traditional Arabic" w:hAnsi="Traditional Arabic" w:cs="Traditional Arabic" w:hint="cs"/>
          <w:b/>
          <w:bCs/>
          <w:sz w:val="32"/>
          <w:szCs w:val="32"/>
          <w:rtl/>
        </w:rPr>
        <w:t>غولدمان</w:t>
      </w:r>
      <w:r>
        <w:rPr>
          <w:rFonts w:ascii="Traditional Arabic" w:hAnsi="Traditional Arabic" w:cs="Traditional Arabic" w:hint="cs"/>
          <w:sz w:val="32"/>
          <w:szCs w:val="32"/>
          <w:rtl/>
        </w:rPr>
        <w:t xml:space="preserve"> التناظر بين البنيتين الفكرية والاجتماعية من خلال التناظر ين البنية الفكرية في الرواية، وبنية الوعي الجمعي الذي يدفع  الكاتب (كالفرد مفكر ) للكتابة ، ويطرح التساؤل الآتي:</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 ما الذي يدفع الكاتب وهو ذات فردية إلى خلق العمل الأدبي وهو كينونة اجتماعية ؟ وأين يعثر على تجانس مشترك بين ما هو إبداعي وما هو واقعي ؟.</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وتأتي الإجابات لتشكل أطروحات</w:t>
      </w:r>
      <w:r w:rsidRPr="002A3FB8">
        <w:rPr>
          <w:rFonts w:ascii="Traditional Arabic" w:hAnsi="Traditional Arabic" w:cs="Traditional Arabic" w:hint="cs"/>
          <w:b/>
          <w:bCs/>
          <w:sz w:val="32"/>
          <w:szCs w:val="32"/>
          <w:rtl/>
        </w:rPr>
        <w:t xml:space="preserve"> غولدمان</w:t>
      </w:r>
      <w:r>
        <w:rPr>
          <w:rFonts w:ascii="Traditional Arabic" w:hAnsi="Traditional Arabic" w:cs="Traditional Arabic" w:hint="cs"/>
          <w:sz w:val="32"/>
          <w:szCs w:val="32"/>
          <w:rtl/>
        </w:rPr>
        <w:t xml:space="preserve"> السوسيولوجية الثلاث:</w:t>
      </w:r>
    </w:p>
    <w:p w:rsidR="00C06752" w:rsidRDefault="00C06752" w:rsidP="00C06752">
      <w:pPr>
        <w:bidi/>
        <w:rPr>
          <w:rFonts w:ascii="Traditional Arabic" w:hAnsi="Traditional Arabic" w:cs="Traditional Arabic"/>
          <w:sz w:val="32"/>
          <w:szCs w:val="32"/>
          <w:rtl/>
        </w:rPr>
      </w:pPr>
      <w:r w:rsidRPr="002A3FB8">
        <w:rPr>
          <w:rFonts w:ascii="Traditional Arabic" w:hAnsi="Traditional Arabic" w:cs="Traditional Arabic" w:hint="cs"/>
          <w:b/>
          <w:bCs/>
          <w:sz w:val="32"/>
          <w:szCs w:val="32"/>
          <w:rtl/>
        </w:rPr>
        <w:lastRenderedPageBreak/>
        <w:t>الأولى</w:t>
      </w:r>
      <w:r>
        <w:rPr>
          <w:rFonts w:ascii="Traditional Arabic" w:hAnsi="Traditional Arabic" w:cs="Traditional Arabic" w:hint="cs"/>
          <w:sz w:val="32"/>
          <w:szCs w:val="32"/>
          <w:rtl/>
        </w:rPr>
        <w:t>- إن كتابات الأديب مهما كانت فردية فهي تعبر عن ذات جماعية ثاوية خلف دواعي الكتابة، لأنه ينتمي فعلا إلى جماعة تمثل فئته التي يعبر عن انشغالاتها ، كفرد وكانسان .</w:t>
      </w:r>
    </w:p>
    <w:p w:rsidR="00C06752" w:rsidRDefault="00C06752" w:rsidP="00C06752">
      <w:pPr>
        <w:bidi/>
        <w:rPr>
          <w:rFonts w:ascii="Traditional Arabic" w:hAnsi="Traditional Arabic" w:cs="Traditional Arabic"/>
          <w:sz w:val="32"/>
          <w:szCs w:val="32"/>
          <w:rtl/>
        </w:rPr>
      </w:pPr>
      <w:r w:rsidRPr="002A3FB8">
        <w:rPr>
          <w:rFonts w:ascii="Traditional Arabic" w:hAnsi="Traditional Arabic" w:cs="Traditional Arabic" w:hint="cs"/>
          <w:b/>
          <w:bCs/>
          <w:sz w:val="32"/>
          <w:szCs w:val="32"/>
          <w:rtl/>
        </w:rPr>
        <w:t>الثانية</w:t>
      </w:r>
      <w:r>
        <w:rPr>
          <w:rFonts w:ascii="Traditional Arabic" w:hAnsi="Traditional Arabic" w:cs="Traditional Arabic" w:hint="cs"/>
          <w:sz w:val="32"/>
          <w:szCs w:val="32"/>
          <w:rtl/>
        </w:rPr>
        <w:t xml:space="preserve"> - إن تطلعاته هاته ستوافق حتما فئة اجتماعية ما، مهما بعدت عنه إلا أنها موجودة حتما، لأن الأمر متعلق بسيرة ذاتية للإنسان بمعناه الشمولي </w:t>
      </w:r>
    </w:p>
    <w:p w:rsidR="00C06752" w:rsidRDefault="00C06752" w:rsidP="00C06752">
      <w:pPr>
        <w:bidi/>
        <w:rPr>
          <w:rFonts w:ascii="Traditional Arabic" w:hAnsi="Traditional Arabic" w:cs="Traditional Arabic"/>
          <w:sz w:val="32"/>
          <w:szCs w:val="32"/>
          <w:rtl/>
        </w:rPr>
      </w:pPr>
      <w:r w:rsidRPr="002A3FB8">
        <w:rPr>
          <w:rFonts w:ascii="Traditional Arabic" w:hAnsi="Traditional Arabic" w:cs="Traditional Arabic" w:hint="cs"/>
          <w:b/>
          <w:bCs/>
          <w:sz w:val="32"/>
          <w:szCs w:val="32"/>
          <w:rtl/>
        </w:rPr>
        <w:t>الثالثة</w:t>
      </w:r>
      <w:r>
        <w:rPr>
          <w:rFonts w:ascii="Traditional Arabic" w:hAnsi="Traditional Arabic" w:cs="Traditional Arabic" w:hint="cs"/>
          <w:sz w:val="32"/>
          <w:szCs w:val="32"/>
          <w:rtl/>
        </w:rPr>
        <w:t xml:space="preserve"> - ما دامت الجماعة الاجتماعية في كل أحوال هي من يهيئ الأرضية الخصبة لنمو الفرد وتشكله الفكري الواعي واللاواعي فإن كل ما يصدر عنه راجع لا محالة إلى الجماعة حتى وإن كان دعوة للتمرد عليها، فهذا لا ينفي أبدا تأثره الأول والأخير بجماعته.</w:t>
      </w:r>
    </w:p>
    <w:p w:rsidR="00C06752" w:rsidRDefault="00C06752" w:rsidP="00C0675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والخلاصة التي يخرج بها </w:t>
      </w:r>
      <w:r w:rsidRPr="006D34D6">
        <w:rPr>
          <w:rFonts w:ascii="Traditional Arabic" w:hAnsi="Traditional Arabic" w:cs="Traditional Arabic" w:hint="cs"/>
          <w:b/>
          <w:bCs/>
          <w:sz w:val="32"/>
          <w:szCs w:val="32"/>
          <w:rtl/>
        </w:rPr>
        <w:t>غولدمان</w:t>
      </w:r>
      <w:r>
        <w:rPr>
          <w:rFonts w:ascii="Traditional Arabic" w:hAnsi="Traditional Arabic" w:cs="Traditional Arabic" w:hint="cs"/>
          <w:sz w:val="32"/>
          <w:szCs w:val="32"/>
          <w:rtl/>
        </w:rPr>
        <w:t xml:space="preserve"> من هذه الأطروحة هي أنه لا وجود لأي إبداع يخرج عن نطاق الجماعة الاجتماعي</w:t>
      </w:r>
      <w:r>
        <w:rPr>
          <w:rFonts w:ascii="Traditional Arabic" w:hAnsi="Traditional Arabic" w:cs="Traditional Arabic" w:hint="eastAsia"/>
          <w:sz w:val="32"/>
          <w:szCs w:val="32"/>
          <w:rtl/>
        </w:rPr>
        <w:t>ة</w:t>
      </w:r>
      <w:r>
        <w:rPr>
          <w:rFonts w:ascii="Traditional Arabic" w:hAnsi="Traditional Arabic" w:cs="Traditional Arabic" w:hint="cs"/>
          <w:sz w:val="32"/>
          <w:szCs w:val="32"/>
          <w:rtl/>
        </w:rPr>
        <w:t xml:space="preserve"> التي تعد مصدر رؤيته للعالم المنبثة في أعمال الكتاب والأدباء. </w:t>
      </w:r>
    </w:p>
    <w:p w:rsidR="006F15DB" w:rsidRDefault="006F15DB" w:rsidP="00C06752">
      <w:pPr>
        <w:bidi/>
      </w:pPr>
    </w:p>
    <w:sectPr w:rsidR="006F15D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5DB" w:rsidRDefault="006F15DB" w:rsidP="00C06752">
      <w:pPr>
        <w:spacing w:after="0" w:line="240" w:lineRule="auto"/>
      </w:pPr>
      <w:r>
        <w:separator/>
      </w:r>
    </w:p>
  </w:endnote>
  <w:endnote w:type="continuationSeparator" w:id="1">
    <w:p w:rsidR="006F15DB" w:rsidRDefault="006F15DB" w:rsidP="00C06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5DB" w:rsidRDefault="006F15DB" w:rsidP="00C06752">
      <w:pPr>
        <w:spacing w:after="0" w:line="240" w:lineRule="auto"/>
      </w:pPr>
      <w:r>
        <w:separator/>
      </w:r>
    </w:p>
  </w:footnote>
  <w:footnote w:type="continuationSeparator" w:id="1">
    <w:p w:rsidR="006F15DB" w:rsidRDefault="006F15DB" w:rsidP="00C067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52" w:rsidRDefault="00C06752">
    <w:pPr>
      <w:pStyle w:val="En-tte"/>
    </w:pPr>
    <w:r>
      <w:rPr>
        <w:noProof/>
        <w:lang w:eastAsia="zh-TW"/>
      </w:rPr>
      <w:pict>
        <v:group id="_x0000_s1025"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sdt>
                  <w:sdtPr>
                    <w:rPr>
                      <w:b/>
                      <w:bCs/>
                      <w:color w:val="FFFFFF" w:themeColor="background1"/>
                      <w:sz w:val="28"/>
                      <w:szCs w:val="28"/>
                    </w:rPr>
                    <w:alias w:val="Titre"/>
                    <w:id w:val="538682326"/>
                    <w:placeholder>
                      <w:docPart w:val="82B90DC3F71F43DFB3B3A8790E16021E"/>
                    </w:placeholder>
                    <w:dataBinding w:prefixMappings="xmlns:ns0='http://schemas.openxmlformats.org/package/2006/metadata/core-properties' xmlns:ns1='http://purl.org/dc/elements/1.1/'" w:xpath="/ns0:coreProperties[1]/ns1:title[1]" w:storeItemID="{6C3C8BC8-F283-45AE-878A-BAB7291924A1}"/>
                    <w:text/>
                  </w:sdtPr>
                  <w:sdtContent>
                    <w:p w:rsidR="00C06752" w:rsidRDefault="00C06752" w:rsidP="00C06752">
                      <w:pPr>
                        <w:pStyle w:val="En-tte"/>
                        <w:rPr>
                          <w:color w:val="FFFFFF" w:themeColor="background1"/>
                          <w:sz w:val="28"/>
                          <w:szCs w:val="28"/>
                        </w:rPr>
                      </w:pPr>
                      <w:r w:rsidRPr="00C06752">
                        <w:rPr>
                          <w:rFonts w:hint="eastAsia"/>
                          <w:b/>
                          <w:bCs/>
                          <w:color w:val="FFFFFF" w:themeColor="background1"/>
                          <w:sz w:val="28"/>
                          <w:szCs w:val="28"/>
                          <w:rtl/>
                        </w:rPr>
                        <w:t>النقد</w:t>
                      </w:r>
                      <w:r w:rsidRPr="00C06752">
                        <w:rPr>
                          <w:b/>
                          <w:bCs/>
                          <w:color w:val="FFFFFF" w:themeColor="background1"/>
                          <w:sz w:val="28"/>
                          <w:szCs w:val="28"/>
                          <w:rtl/>
                        </w:rPr>
                        <w:t xml:space="preserve"> </w:t>
                      </w:r>
                      <w:r w:rsidRPr="00C06752">
                        <w:rPr>
                          <w:rFonts w:hint="eastAsia"/>
                          <w:b/>
                          <w:bCs/>
                          <w:color w:val="FFFFFF" w:themeColor="background1"/>
                          <w:sz w:val="28"/>
                          <w:szCs w:val="28"/>
                          <w:rtl/>
                        </w:rPr>
                        <w:t>البنيوي</w:t>
                      </w:r>
                      <w:r w:rsidRPr="00C06752">
                        <w:rPr>
                          <w:b/>
                          <w:bCs/>
                          <w:color w:val="FFFFFF" w:themeColor="background1"/>
                          <w:sz w:val="28"/>
                          <w:szCs w:val="28"/>
                          <w:rtl/>
                        </w:rPr>
                        <w:t xml:space="preserve"> </w:t>
                      </w:r>
                      <w:r w:rsidRPr="00C06752">
                        <w:rPr>
                          <w:rFonts w:hint="eastAsia"/>
                          <w:b/>
                          <w:bCs/>
                          <w:color w:val="FFFFFF" w:themeColor="background1"/>
                          <w:sz w:val="28"/>
                          <w:szCs w:val="28"/>
                          <w:rtl/>
                        </w:rPr>
                        <w:t>التكويني</w:t>
                      </w:r>
                    </w:p>
                  </w:sdtContent>
                </w:sdt>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C06752" w:rsidRDefault="00C06752" w:rsidP="00C06752">
                  <w:pPr>
                    <w:pStyle w:val="En-tte"/>
                    <w:bidi/>
                    <w:rPr>
                      <w:color w:val="FFFFFF" w:themeColor="background1"/>
                      <w:sz w:val="36"/>
                      <w:szCs w:val="36"/>
                    </w:rPr>
                  </w:pPr>
                  <w:r w:rsidRPr="00D94AA4">
                    <w:rPr>
                      <w:rFonts w:hint="cs"/>
                      <w:b/>
                      <w:bCs/>
                      <w:color w:val="FFFFFF" w:themeColor="background1"/>
                      <w:sz w:val="24"/>
                      <w:szCs w:val="24"/>
                      <w:rtl/>
                    </w:rPr>
                    <w:t>د. آمنة أمقرا</w:t>
                  </w:r>
                  <w:r w:rsidRPr="00D94AA4">
                    <w:rPr>
                      <w:rFonts w:hint="cs"/>
                      <w:b/>
                      <w:bCs/>
                      <w:color w:val="FFFFFF" w:themeColor="background1"/>
                      <w:sz w:val="18"/>
                      <w:szCs w:val="18"/>
                      <w:rtl/>
                    </w:rPr>
                    <w:t>ن</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C06752"/>
    <w:rsid w:val="006F15DB"/>
    <w:rsid w:val="00C06752"/>
    <w:rsid w:val="00C378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6752"/>
    <w:pPr>
      <w:tabs>
        <w:tab w:val="center" w:pos="4536"/>
        <w:tab w:val="right" w:pos="9072"/>
      </w:tabs>
      <w:spacing w:after="0" w:line="240" w:lineRule="auto"/>
    </w:pPr>
  </w:style>
  <w:style w:type="character" w:customStyle="1" w:styleId="En-tteCar">
    <w:name w:val="En-tête Car"/>
    <w:basedOn w:val="Policepardfaut"/>
    <w:link w:val="En-tte"/>
    <w:uiPriority w:val="99"/>
    <w:rsid w:val="00C06752"/>
  </w:style>
  <w:style w:type="paragraph" w:styleId="Pieddepage">
    <w:name w:val="footer"/>
    <w:basedOn w:val="Normal"/>
    <w:link w:val="PieddepageCar"/>
    <w:uiPriority w:val="99"/>
    <w:semiHidden/>
    <w:unhideWhenUsed/>
    <w:rsid w:val="00C0675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06752"/>
  </w:style>
  <w:style w:type="paragraph" w:styleId="Textedebulles">
    <w:name w:val="Balloon Text"/>
    <w:basedOn w:val="Normal"/>
    <w:link w:val="TextedebullesCar"/>
    <w:uiPriority w:val="99"/>
    <w:semiHidden/>
    <w:unhideWhenUsed/>
    <w:rsid w:val="00C067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6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B90DC3F71F43DFB3B3A8790E16021E"/>
        <w:category>
          <w:name w:val="Général"/>
          <w:gallery w:val="placeholder"/>
        </w:category>
        <w:types>
          <w:type w:val="bbPlcHdr"/>
        </w:types>
        <w:behaviors>
          <w:behavior w:val="content"/>
        </w:behaviors>
        <w:guid w:val="{5735AE4C-3657-4A74-8036-9FA85B692818}"/>
      </w:docPartPr>
      <w:docPartBody>
        <w:p w:rsidR="00000000" w:rsidRDefault="00FB6184" w:rsidP="00FB6184">
          <w:pPr>
            <w:pStyle w:val="82B90DC3F71F43DFB3B3A8790E16021E"/>
          </w:pPr>
          <w:r>
            <w:rPr>
              <w:color w:val="FFFFFF" w:themeColor="background1"/>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B6184"/>
    <w:rsid w:val="00076A5F"/>
    <w:rsid w:val="00FB61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2B90DC3F71F43DFB3B3A8790E16021E">
    <w:name w:val="82B90DC3F71F43DFB3B3A8790E16021E"/>
    <w:rsid w:val="00FB6184"/>
  </w:style>
  <w:style w:type="paragraph" w:customStyle="1" w:styleId="64A3DC73256A41D0A3345F02B1FC3C93">
    <w:name w:val="64A3DC73256A41D0A3345F02B1FC3C93"/>
    <w:rsid w:val="00FB61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2037</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النقد البنيوي التكويني</dc:title>
  <dc:subject/>
  <dc:creator>PACKARDBELL</dc:creator>
  <cp:keywords/>
  <dc:description/>
  <cp:lastModifiedBy>PACKARDBELL</cp:lastModifiedBy>
  <cp:revision>3</cp:revision>
  <dcterms:created xsi:type="dcterms:W3CDTF">2020-04-19T09:44:00Z</dcterms:created>
  <dcterms:modified xsi:type="dcterms:W3CDTF">2020-04-19T09:49:00Z</dcterms:modified>
</cp:coreProperties>
</file>