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080" w:rsidRPr="00680080" w:rsidRDefault="00680080" w:rsidP="00680080">
      <w:pPr>
        <w:tabs>
          <w:tab w:val="right" w:pos="566"/>
        </w:tabs>
        <w:autoSpaceDE w:val="0"/>
        <w:autoSpaceDN w:val="0"/>
        <w:adjustRightInd w:val="0"/>
        <w:spacing w:before="120" w:after="0" w:line="276" w:lineRule="auto"/>
        <w:ind w:firstLine="566"/>
        <w:jc w:val="lowKashida"/>
        <w:rPr>
          <w:rFonts w:ascii="Times New Roman" w:eastAsia="Times New Roman" w:hAnsi="Times New Roman" w:cs="Simplified Arabic" w:hint="cs"/>
          <w:color w:val="000000"/>
          <w:sz w:val="30"/>
          <w:szCs w:val="30"/>
          <w:rtl/>
          <w:lang w:val="fr-FR"/>
        </w:rPr>
      </w:pPr>
    </w:p>
    <w:p w:rsidR="00680080" w:rsidRPr="00680080" w:rsidRDefault="00680080" w:rsidP="00680080">
      <w:pPr>
        <w:tabs>
          <w:tab w:val="right" w:pos="566"/>
        </w:tabs>
        <w:autoSpaceDE w:val="0"/>
        <w:autoSpaceDN w:val="0"/>
        <w:adjustRightInd w:val="0"/>
        <w:spacing w:before="120" w:after="0" w:line="276" w:lineRule="auto"/>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b/>
          <w:bCs/>
          <w:color w:val="000000"/>
          <w:sz w:val="30"/>
          <w:szCs w:val="30"/>
          <w:rtl/>
        </w:rPr>
        <w:t xml:space="preserve">المطلب </w:t>
      </w:r>
      <w:r w:rsidRPr="00680080">
        <w:rPr>
          <w:rFonts w:ascii="Simplified Arabic" w:eastAsia="Times New Roman" w:hAnsi="Simplified Arabic" w:cs="Simplified Arabic" w:hint="cs"/>
          <w:b/>
          <w:bCs/>
          <w:color w:val="000000"/>
          <w:sz w:val="30"/>
          <w:szCs w:val="30"/>
          <w:rtl/>
        </w:rPr>
        <w:t>الأول</w:t>
      </w:r>
      <w:r w:rsidRPr="00680080">
        <w:rPr>
          <w:rFonts w:ascii="Simplified Arabic" w:eastAsia="Times New Roman" w:hAnsi="Simplified Arabic" w:cs="Simplified Arabic"/>
          <w:b/>
          <w:bCs/>
          <w:color w:val="000000"/>
          <w:sz w:val="30"/>
          <w:szCs w:val="30"/>
          <w:rtl/>
        </w:rPr>
        <w:t>: النموذج الياباني (دولة الثقافة الصناعية):</w:t>
      </w:r>
      <w:r w:rsidRPr="00680080">
        <w:rPr>
          <w:rFonts w:ascii="Simplified Arabic" w:eastAsia="Times New Roman" w:hAnsi="Simplified Arabic" w:cs="Simplified Arabic"/>
          <w:color w:val="000000"/>
          <w:sz w:val="30"/>
          <w:szCs w:val="30"/>
          <w:rtl/>
        </w:rPr>
        <w:t xml:space="preserve"> ترتبط السياسة التنموية اليابانية بتلك الروابط غير الرسمية الوثيقة بين ثلاث جماعات مهمة على الساحة اليابانية تسيطر على صنع السياسة الاقتصادية في البلاد متمثلة في قيادات الخدمة المدنية، وكبار رجال الأعمال، وقيادات الحزب الليبرالي الديمقراطي، فيما أصبح يعرف بالمثلث الفولاذي</w:t>
      </w:r>
      <w:r w:rsidRPr="00680080">
        <w:rPr>
          <w:rFonts w:ascii="Simplified Arabic" w:eastAsia="Times New Roman" w:hAnsi="Simplified Arabic" w:cs="Simplified Arabic"/>
          <w:color w:val="000000"/>
          <w:sz w:val="30"/>
          <w:szCs w:val="30"/>
          <w:vertAlign w:val="superscript"/>
        </w:rPr>
        <w:t>(</w:t>
      </w:r>
      <w:r w:rsidRPr="00680080">
        <w:rPr>
          <w:rFonts w:ascii="Simplified Arabic" w:eastAsia="Times New Roman" w:hAnsi="Simplified Arabic" w:cs="Simplified Arabic"/>
          <w:color w:val="000000"/>
          <w:sz w:val="30"/>
          <w:szCs w:val="30"/>
          <w:vertAlign w:val="superscript"/>
        </w:rPr>
        <w:footnoteReference w:id="1"/>
      </w:r>
      <w:r w:rsidRPr="00680080">
        <w:rPr>
          <w:rFonts w:ascii="Simplified Arabic" w:eastAsia="Times New Roman" w:hAnsi="Simplified Arabic" w:cs="Simplified Arabic"/>
          <w:color w:val="000000"/>
          <w:sz w:val="30"/>
          <w:szCs w:val="30"/>
          <w:vertAlign w:val="superscript"/>
        </w:rPr>
        <w:t>)</w:t>
      </w:r>
      <w:r w:rsidRPr="00680080">
        <w:rPr>
          <w:rFonts w:ascii="Simplified Arabic" w:eastAsia="Times New Roman" w:hAnsi="Simplified Arabic" w:cs="Simplified Arabic"/>
          <w:color w:val="000000"/>
          <w:sz w:val="30"/>
          <w:szCs w:val="30"/>
        </w:rPr>
        <w:t xml:space="preserve"> (</w:t>
      </w:r>
      <w:r w:rsidRPr="00680080">
        <w:rPr>
          <w:rFonts w:ascii="Times New Roman" w:eastAsia="Times New Roman" w:hAnsi="Times New Roman" w:cs="Times New Roman"/>
          <w:color w:val="000000"/>
          <w:sz w:val="30"/>
          <w:szCs w:val="30"/>
        </w:rPr>
        <w:t>Iron Triangle</w:t>
      </w:r>
      <w:r w:rsidRPr="00680080">
        <w:rPr>
          <w:rFonts w:ascii="Simplified Arabic" w:eastAsia="Times New Roman" w:hAnsi="Simplified Arabic" w:cs="Simplified Arabic"/>
          <w:color w:val="000000"/>
          <w:sz w:val="30"/>
          <w:szCs w:val="30"/>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566"/>
        </w:tabs>
        <w:autoSpaceDE w:val="0"/>
        <w:autoSpaceDN w:val="0"/>
        <w:adjustRightInd w:val="0"/>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ووفقا لتلك التركيبة فإن البيروقراطيين</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وليس السياسيين أو رجال الأعمال</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هم الذين تولوا وضع معظم السياسات والتشريعات التي جعلت من اليابان عملاقا اقتصاديا</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والأكثر أهمية أن معظم قيادات الحزب الليبرالي الديمقراطي (الذي حكم اليابان منذ 1955م وحتى الآن فيما عدا فترة زمنية قصيرة في 1993م) ومعظم رجال الأعمال كانوا هم أنفسهم قد عملوا ضمن قطاع الخدمة المدنية. ومن ثم فإنه وبعكس الحال في الولايات المتحدة حيث العلاقة غالبا ما تكون عدائية ما بين رجال الأعمال والحكومة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فإن النخبة اليابانية تعتقد أن التعاون بين الحكومة والقطاع الخاص هو أفضل طريق لتحقيق النمو الاقتصادي. وكان من نتيجة ذلك التعاون تبلور ما أصبح يعرف بنموذج "رأسمالية الدولة" أو "اليابان الشركة" </w:t>
      </w:r>
      <w:r w:rsidRPr="00680080">
        <w:rPr>
          <w:rFonts w:ascii="Simplified Arabic" w:eastAsia="Times New Roman" w:hAnsi="Simplified Arabic" w:cs="Simplified Arabic"/>
          <w:color w:val="000000"/>
          <w:sz w:val="30"/>
          <w:szCs w:val="30"/>
        </w:rPr>
        <w:t>"</w:t>
      </w:r>
      <w:r w:rsidRPr="00680080">
        <w:rPr>
          <w:rFonts w:ascii="Times New Roman" w:eastAsia="Times New Roman" w:hAnsi="Times New Roman" w:cs="Times New Roman"/>
          <w:color w:val="000000"/>
          <w:sz w:val="30"/>
          <w:szCs w:val="30"/>
        </w:rPr>
        <w:t>Japan, Inc</w:t>
      </w:r>
      <w:r w:rsidRPr="00680080">
        <w:rPr>
          <w:rFonts w:ascii="Simplified Arabic" w:eastAsia="Times New Roman" w:hAnsi="Simplified Arabic" w:cs="Simplified Arabic"/>
          <w:color w:val="000000"/>
          <w:sz w:val="30"/>
          <w:szCs w:val="30"/>
        </w:rPr>
        <w:t>."</w:t>
      </w:r>
      <w:r w:rsidRPr="00680080">
        <w:rPr>
          <w:rFonts w:ascii="Simplified Arabic" w:eastAsia="Times New Roman" w:hAnsi="Simplified Arabic" w:cs="Simplified Arabic"/>
          <w:color w:val="000000"/>
          <w:sz w:val="30"/>
          <w:szCs w:val="30"/>
          <w:vertAlign w:val="superscript"/>
          <w:rtl/>
        </w:rPr>
        <w:t xml:space="preserve"> (</w:t>
      </w:r>
      <w:r w:rsidRPr="00680080">
        <w:rPr>
          <w:rFonts w:ascii="Simplified Arabic" w:eastAsia="Times New Roman" w:hAnsi="Simplified Arabic" w:cs="Simplified Arabic"/>
          <w:color w:val="000000"/>
          <w:sz w:val="30"/>
          <w:szCs w:val="30"/>
          <w:vertAlign w:val="superscript"/>
          <w:rtl/>
        </w:rPr>
        <w:footnoteReference w:id="2"/>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566"/>
        </w:tabs>
        <w:autoSpaceDE w:val="0"/>
        <w:autoSpaceDN w:val="0"/>
        <w:adjustRightInd w:val="0"/>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hint="cs"/>
          <w:color w:val="000000"/>
          <w:sz w:val="30"/>
          <w:szCs w:val="30"/>
          <w:rtl/>
        </w:rPr>
        <w:t>وليس لنظريات الاقتصاد الكلاسيكي الجديد غير قيمة محدودة لإضاءة الحياة الاقتصادية في اليابان. فالشركات اليابانية تتنافس بعضها البعض على الأسواق منافسة لا رحمة فيها مثلما يحدث في كل مكان أخر، ولكن الرأسمالية اليابانية تختلف اختلافا عميقا عن فردية السوق الانجلوساكسونية التي أقام عليها معظم أصحاب النظريات الاجتماعية نموذجهم الرأسمالي، كما تختلف عن النموذج الذي يقدمه " توافق واشنطن"</w:t>
      </w:r>
      <w:r w:rsidRPr="00680080">
        <w:rPr>
          <w:rFonts w:ascii="Simplified Arabic" w:eastAsia="Times New Roman" w:hAnsi="Simplified Arabic" w:cs="Simplified Arabic"/>
          <w:b/>
          <w:bCs/>
          <w:sz w:val="30"/>
          <w:szCs w:val="30"/>
          <w:vertAlign w:val="superscript"/>
          <w:rtl/>
        </w:rPr>
        <w:t>(</w:t>
      </w:r>
      <w:r w:rsidRPr="00680080">
        <w:rPr>
          <w:rFonts w:ascii="Simplified Arabic" w:eastAsia="Times New Roman" w:hAnsi="Simplified Arabic" w:cs="Simplified Arabic"/>
          <w:b/>
          <w:bCs/>
          <w:sz w:val="30"/>
          <w:szCs w:val="30"/>
          <w:vertAlign w:val="superscript"/>
          <w:rtl/>
        </w:rPr>
        <w:footnoteReference w:id="3"/>
      </w:r>
      <w:r w:rsidRPr="00680080">
        <w:rPr>
          <w:rFonts w:ascii="Simplified Arabic" w:eastAsia="Times New Roman" w:hAnsi="Simplified Arabic" w:cs="Simplified Arabic"/>
          <w:b/>
          <w:bCs/>
          <w:sz w:val="30"/>
          <w:szCs w:val="30"/>
          <w:vertAlign w:val="superscript"/>
          <w:rtl/>
        </w:rPr>
        <w:t>)</w:t>
      </w:r>
      <w:r w:rsidRPr="00680080">
        <w:rPr>
          <w:rFonts w:ascii="Simplified Arabic" w:eastAsia="Times New Roman" w:hAnsi="Simplified Arabic" w:cs="Simplified Arabic" w:hint="cs"/>
          <w:color w:val="000000"/>
          <w:sz w:val="30"/>
          <w:szCs w:val="30"/>
          <w:rtl/>
        </w:rPr>
        <w:t>.</w:t>
      </w:r>
    </w:p>
    <w:p w:rsidR="00680080" w:rsidRPr="00680080" w:rsidRDefault="00680080" w:rsidP="00680080">
      <w:pPr>
        <w:tabs>
          <w:tab w:val="right" w:pos="566"/>
        </w:tabs>
        <w:autoSpaceDE w:val="0"/>
        <w:autoSpaceDN w:val="0"/>
        <w:adjustRightInd w:val="0"/>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hint="cs"/>
          <w:color w:val="000000"/>
          <w:sz w:val="30"/>
          <w:szCs w:val="30"/>
          <w:rtl/>
        </w:rPr>
        <w:lastRenderedPageBreak/>
        <w:t>ومؤسسات السوق اليابانية تعتمد في معاملاتها مع موظيفها ومع بقية المجتمع على شبكة من الثقة وليس ثقافة العقود. وهل اقل كثيرا من الشركات الأمريكية انفصالا عن هيكل المجتمعات المحيطة بها، وعلاقاتها مع مؤسسات الدولة علاقات وثيقة ومستمرة. كما ان الحياة التي تفصح عن الرأسمالية اليابانية ليست حياة فردية ولا يوجد ما يدل على أنها ستصبح كذلك</w:t>
      </w:r>
      <w:r w:rsidRPr="00680080">
        <w:rPr>
          <w:rFonts w:ascii="Simplified Arabic" w:eastAsia="Times New Roman" w:hAnsi="Simplified Arabic" w:cs="Simplified Arabic" w:hint="cs"/>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4"/>
      </w:r>
      <w:r w:rsidRPr="00680080">
        <w:rPr>
          <w:rFonts w:ascii="Simplified Arabic" w:eastAsia="Times New Roman" w:hAnsi="Simplified Arabic" w:cs="Simplified Arabic" w:hint="cs"/>
          <w:color w:val="000000"/>
          <w:sz w:val="30"/>
          <w:szCs w:val="30"/>
          <w:vertAlign w:val="superscript"/>
          <w:rtl/>
        </w:rPr>
        <w:t>)</w:t>
      </w:r>
      <w:r w:rsidRPr="00680080">
        <w:rPr>
          <w:rFonts w:ascii="Simplified Arabic" w:eastAsia="Times New Roman" w:hAnsi="Simplified Arabic" w:cs="Simplified Arabic" w:hint="cs"/>
          <w:color w:val="000000"/>
          <w:sz w:val="30"/>
          <w:szCs w:val="30"/>
          <w:rtl/>
        </w:rPr>
        <w:t>.</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وفي هذا السياق يشير بول كنيدي (1988) إلى أن التصنيع السريع في اليابان قد حدث تحت رعاية سلطة حكومية مركزية قوية تقوم على مبد</w:t>
      </w:r>
      <w:r w:rsidRPr="00680080">
        <w:rPr>
          <w:rFonts w:ascii="Simplified Arabic" w:eastAsia="Times New Roman" w:hAnsi="Simplified Arabic" w:cs="Simplified Arabic" w:hint="cs"/>
          <w:color w:val="000000"/>
          <w:sz w:val="30"/>
          <w:szCs w:val="30"/>
          <w:rtl/>
        </w:rPr>
        <w:t>إ</w:t>
      </w:r>
      <w:r w:rsidRPr="00680080">
        <w:rPr>
          <w:rFonts w:ascii="Simplified Arabic" w:eastAsia="Times New Roman" w:hAnsi="Simplified Arabic" w:cs="Simplified Arabic"/>
          <w:color w:val="000000"/>
          <w:sz w:val="30"/>
          <w:szCs w:val="30"/>
          <w:rtl/>
        </w:rPr>
        <w:t xml:space="preserve"> التدخل. بل </w:t>
      </w:r>
      <w:r w:rsidRPr="00680080">
        <w:rPr>
          <w:rFonts w:ascii="Simplified Arabic" w:eastAsia="Times New Roman" w:hAnsi="Simplified Arabic" w:cs="Simplified Arabic" w:hint="cs"/>
          <w:color w:val="000000"/>
          <w:sz w:val="30"/>
          <w:szCs w:val="30"/>
          <w:rtl/>
        </w:rPr>
        <w:t>إ</w:t>
      </w:r>
      <w:r w:rsidRPr="00680080">
        <w:rPr>
          <w:rFonts w:ascii="Simplified Arabic" w:eastAsia="Times New Roman" w:hAnsi="Simplified Arabic" w:cs="Simplified Arabic"/>
          <w:color w:val="000000"/>
          <w:sz w:val="30"/>
          <w:szCs w:val="30"/>
          <w:rtl/>
        </w:rPr>
        <w:t>ن مؤسسات الدولة كانت هي العامل الحاسم في دفع عجلة التنمية الاقتصادية والصناعية عند كل منعطف في التاريخ الياباني. وأن تحديث اليابان كان ضرورة</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5"/>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r w:rsidRPr="00680080">
        <w:rPr>
          <w:rFonts w:ascii="Simplified Arabic" w:eastAsia="Times New Roman" w:hAnsi="Simplified Arabic" w:cs="Simplified Arabic" w:hint="cs"/>
          <w:color w:val="000000"/>
          <w:sz w:val="30"/>
          <w:szCs w:val="30"/>
          <w:rtl/>
        </w:rPr>
        <w:t xml:space="preserve"> </w:t>
      </w:r>
      <w:r w:rsidRPr="00680080">
        <w:rPr>
          <w:rFonts w:ascii="Simplified Arabic" w:eastAsia="Times New Roman" w:hAnsi="Simplified Arabic" w:cs="Simplified Arabic"/>
          <w:color w:val="000000"/>
          <w:sz w:val="30"/>
          <w:szCs w:val="30"/>
          <w:rtl/>
        </w:rPr>
        <w:t>"..لا لأن المنظمين الأفراد كانوا يرغبون في ذلك بل لأن الدولة كانت تحتاج إليه ... فقد شجعت الدولة</w:t>
      </w:r>
      <w:r w:rsidRPr="00680080">
        <w:rPr>
          <w:rFonts w:ascii="Simplified Arabic" w:eastAsia="Times New Roman" w:hAnsi="Simplified Arabic" w:cs="Simplified Arabic" w:hint="cs"/>
          <w:color w:val="000000"/>
          <w:sz w:val="30"/>
          <w:szCs w:val="30"/>
          <w:rtl/>
        </w:rPr>
        <w:t xml:space="preserve"> على</w:t>
      </w:r>
      <w:r w:rsidRPr="00680080">
        <w:rPr>
          <w:rFonts w:ascii="Simplified Arabic" w:eastAsia="Times New Roman" w:hAnsi="Simplified Arabic" w:cs="Simplified Arabic"/>
          <w:color w:val="000000"/>
          <w:sz w:val="30"/>
          <w:szCs w:val="30"/>
          <w:rtl/>
        </w:rPr>
        <w:t xml:space="preserve"> بناء شبكة من السكك الحديدية والاتصالات البريدية والخطوط الملاحية، وعملت بالتعاون مع المنظمين اليابانيين الصاعدين على تطوير الصناعة الثقيلة وصناعة الصلب والحديد، وبناء السفن، وكذلك على تحديث إنتاج المنسوجات. كما كان الدعم الحكومي يقدم لتعزيز الصادرات وتشجيع النقل البحري</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وإقامة بنية صناعية حديثة. وفوق ذلك كله كان يكمن الالتزام السياسي الرائع بتحقيق الشعار القومي "دولة غنية ذات جيش قوي..."</w:t>
      </w:r>
      <w:r w:rsidRPr="00680080">
        <w:rPr>
          <w:rFonts w:ascii="Simplified Arabic" w:eastAsia="Times New Roman" w:hAnsi="Simplified Arabic" w:cs="Simplified Arabic"/>
          <w:color w:val="000000"/>
          <w:sz w:val="30"/>
          <w:szCs w:val="30"/>
        </w:rPr>
        <w:t>.</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كذلك يشار إلى أن الرأسمالية اليابانية لم تقم على أنقاض النظام الإقطاعي</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كما حدث في أوربا بل أن تطور الشركات اليابانية الحديثة كان امتدادا لمؤسسات موروثة من القرون الوسطى، إن تدشين المشروع الاقتصادي الياباني الحديث في العقود الأخيرة من القرن التاسع عشر</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والمستند إلى قاعدة صناعة قوية كان تجسيدا لنظام اجتماعي ظل قائما ولعبت فيه طبقة الساموراي المحاربين أولا ثم البيروقراطيين فيما بعد دورا حاسما</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6"/>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hint="cs"/>
          <w:color w:val="000000"/>
          <w:sz w:val="30"/>
          <w:szCs w:val="30"/>
          <w:rtl/>
        </w:rPr>
        <w:t xml:space="preserve">إن تجربة النهوض اليابانية لم تكن مجرد انبثاق مفاجئ مع حركة الميجي سنة 1868، إنما هي تجربة لها جذورها النهضوية العميقة وسياقها التاريخي الفريد وعناصرها الكامنة الممتدة طيلة فترة توكوغاودوا، حيث شهدت القرون الثلاثة السابقة على عهد الميجي (1568-1868) تطورات </w:t>
      </w:r>
      <w:r w:rsidRPr="00680080">
        <w:rPr>
          <w:rFonts w:ascii="Simplified Arabic" w:eastAsia="Times New Roman" w:hAnsi="Simplified Arabic" w:cs="Simplified Arabic" w:hint="cs"/>
          <w:color w:val="000000"/>
          <w:sz w:val="30"/>
          <w:szCs w:val="30"/>
          <w:rtl/>
        </w:rPr>
        <w:lastRenderedPageBreak/>
        <w:t>نوعية وتراكمات حضارية هامة، أضفت عليها طابع الخصوصية والتفرد والتمييز، فقد شكلت هذه الفترة الزمنية منذ القرن السادس عشر القاعدة الاساس للنهضة اليابانية في مطلع القرن التاسع عشر</w:t>
      </w:r>
      <w:r w:rsidRPr="00680080">
        <w:rPr>
          <w:rFonts w:ascii="Simplified Arabic" w:eastAsia="Times New Roman" w:hAnsi="Simplified Arabic" w:cs="Simplified Arabic" w:hint="cs"/>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7"/>
      </w:r>
      <w:r w:rsidRPr="00680080">
        <w:rPr>
          <w:rFonts w:ascii="Simplified Arabic" w:eastAsia="Times New Roman" w:hAnsi="Simplified Arabic" w:cs="Simplified Arabic" w:hint="cs"/>
          <w:color w:val="000000"/>
          <w:sz w:val="30"/>
          <w:szCs w:val="30"/>
          <w:vertAlign w:val="superscript"/>
          <w:rtl/>
        </w:rPr>
        <w:t>)</w:t>
      </w:r>
      <w:r w:rsidRPr="00680080">
        <w:rPr>
          <w:rFonts w:ascii="Simplified Arabic" w:eastAsia="Times New Roman" w:hAnsi="Simplified Arabic" w:cs="Simplified Arabic" w:hint="cs"/>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 xml:space="preserve">كما أدركوا أن هدف تحديث اليابان وفق </w:t>
      </w:r>
      <w:r w:rsidRPr="00680080">
        <w:rPr>
          <w:rFonts w:ascii="Simplified Arabic" w:eastAsia="Times New Roman" w:hAnsi="Simplified Arabic" w:cs="Simplified Arabic" w:hint="cs"/>
          <w:color w:val="000000"/>
          <w:sz w:val="30"/>
          <w:szCs w:val="30"/>
          <w:rtl/>
        </w:rPr>
        <w:t>شعار "دولة غنية وجيش قوي"</w:t>
      </w:r>
      <w:r w:rsidRPr="00680080">
        <w:rPr>
          <w:rFonts w:ascii="Simplified Arabic" w:eastAsia="Times New Roman" w:hAnsi="Simplified Arabic" w:cs="Simplified Arabic"/>
          <w:color w:val="000000"/>
          <w:sz w:val="30"/>
          <w:szCs w:val="30"/>
          <w:rtl/>
        </w:rPr>
        <w:t xml:space="preserve"> لا يمكن تحقيقه بدون أن تأخذ الحكومة اليابانية زمام المبادرة في توجيه كل الموارد المتاحة نحو تحقيق ذلك الهدف. وحدث هذا الأمر في ظل تقبل واسع لسياسة الحكومة من قبل قطاعات واسعة من الشعب ومن بينهم معظم كبار التجار الأثرياء الذين كونوا ثرواتهم أثناء حكم توكوجاوا</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والذين قاموا بتشغيل المشروعات الجديدة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وبدأ الكثير منهم في مساندة الحكومة من خلال شركات تابعة لعائلات وإقامة بنوك مثل مجموعات زايباتسو</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customMarkFollows="1" w:id="8"/>
        <w:sym w:font="Symbol" w:char="F02A"/>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 تعاون القطاع العام مع القطاع الخاص)</w:t>
      </w:r>
      <w:r w:rsidRPr="00680080">
        <w:rPr>
          <w:rFonts w:ascii="Simplified Arabic" w:eastAsia="Times New Roman" w:hAnsi="Simplified Arabic" w:cs="Simplified Arabic" w:hint="cs"/>
          <w:color w:val="000000"/>
          <w:sz w:val="30"/>
          <w:szCs w:val="30"/>
          <w:rtl/>
        </w:rPr>
        <w:t xml:space="preserve">، </w:t>
      </w:r>
      <w:r w:rsidRPr="00680080">
        <w:rPr>
          <w:rFonts w:ascii="Simplified Arabic" w:eastAsia="Times New Roman" w:hAnsi="Simplified Arabic" w:cs="Simplified Arabic"/>
          <w:color w:val="000000"/>
          <w:sz w:val="30"/>
          <w:szCs w:val="30"/>
          <w:rtl/>
        </w:rPr>
        <w:t>التي كان لها دور في ضخ كمية كبيرة من الأموال لليابان في النصف الأول من القرن العشرين</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9"/>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وتمثل الدولة التنموية اليابانية على أنها نوع مختلف من الرأسمالية وأنه يختلف بشدة عن النموذج الانجلو أمريكي</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0"/>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 xml:space="preserve">فبينما تمتلك الرأسمالية الغربية جذورا ليبرالية واضحة تقدس الفردية والسوق الحرة متأثرة في ذلك بكتابات كل من جون لوك وأدم سميث، فإن الرأسمالية اليابانية المتأثرة بأفكار الفيلسوف الألماني فريدريك ليست </w:t>
      </w:r>
      <w:r w:rsidRPr="00680080">
        <w:rPr>
          <w:rFonts w:ascii="Times New Roman" w:eastAsia="Times New Roman" w:hAnsi="Times New Roman" w:cs="Times New Roman"/>
          <w:color w:val="000000"/>
          <w:sz w:val="30"/>
          <w:szCs w:val="30"/>
        </w:rPr>
        <w:t>Friedrich List</w:t>
      </w:r>
      <w:r w:rsidRPr="00680080">
        <w:rPr>
          <w:rFonts w:ascii="Simplified Arabic" w:eastAsia="Times New Roman" w:hAnsi="Simplified Arabic" w:cs="Simplified Arabic"/>
          <w:color w:val="000000"/>
          <w:sz w:val="30"/>
          <w:szCs w:val="30"/>
          <w:rtl/>
        </w:rPr>
        <w:t xml:space="preserve"> قد بنيت على افتراضات ميركنتالية حول طبيعة الإنتاج والتبادل الاقتصادي يأخذ فيها رفاه الجماعة أولوية </w:t>
      </w:r>
      <w:r w:rsidRPr="00680080">
        <w:rPr>
          <w:rFonts w:ascii="Simplified Arabic" w:eastAsia="Times New Roman" w:hAnsi="Simplified Arabic" w:cs="Simplified Arabic" w:hint="cs"/>
          <w:color w:val="000000"/>
          <w:sz w:val="30"/>
          <w:szCs w:val="30"/>
          <w:rtl/>
        </w:rPr>
        <w:t>من</w:t>
      </w:r>
      <w:r w:rsidRPr="00680080">
        <w:rPr>
          <w:rFonts w:ascii="Simplified Arabic" w:eastAsia="Times New Roman" w:hAnsi="Simplified Arabic" w:cs="Simplified Arabic"/>
          <w:color w:val="000000"/>
          <w:sz w:val="30"/>
          <w:szCs w:val="30"/>
          <w:rtl/>
        </w:rPr>
        <w:t xml:space="preserve"> حقوق الأفراد. وهذا ما جعل الاقتصاد في </w:t>
      </w:r>
      <w:r w:rsidRPr="00680080">
        <w:rPr>
          <w:rFonts w:ascii="Simplified Arabic" w:eastAsia="Times New Roman" w:hAnsi="Simplified Arabic" w:cs="Simplified Arabic"/>
          <w:color w:val="000000"/>
          <w:sz w:val="30"/>
          <w:szCs w:val="30"/>
          <w:rtl/>
        </w:rPr>
        <w:lastRenderedPageBreak/>
        <w:t>اليابان كما يقول جيمس فالوز "</w:t>
      </w:r>
      <w:r w:rsidRPr="00680080">
        <w:rPr>
          <w:rFonts w:ascii="Simplified Arabic" w:eastAsia="Times New Roman" w:hAnsi="Simplified Arabic" w:cs="Simplified Arabic" w:hint="cs"/>
          <w:color w:val="000000"/>
          <w:sz w:val="30"/>
          <w:szCs w:val="30"/>
          <w:rtl/>
        </w:rPr>
        <w:t xml:space="preserve">.. </w:t>
      </w:r>
      <w:r w:rsidRPr="00680080">
        <w:rPr>
          <w:rFonts w:ascii="Simplified Arabic" w:eastAsia="Times New Roman" w:hAnsi="Simplified Arabic" w:cs="Simplified Arabic"/>
          <w:color w:val="000000"/>
          <w:sz w:val="30"/>
          <w:szCs w:val="30"/>
          <w:rtl/>
        </w:rPr>
        <w:t>جزءا من الجيوبوليتيك – أي أنه بمثابة المفتاح لقوة الأمة في مواجهة الإنكشافية في التعامل مع القوى الأخرى</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1"/>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FF0000"/>
          <w:sz w:val="30"/>
          <w:szCs w:val="30"/>
          <w:rtl/>
        </w:rPr>
      </w:pPr>
      <w:r w:rsidRPr="00680080">
        <w:rPr>
          <w:rFonts w:ascii="Simplified Arabic" w:eastAsia="Times New Roman" w:hAnsi="Simplified Arabic" w:cs="Simplified Arabic" w:hint="cs"/>
          <w:color w:val="000000"/>
          <w:sz w:val="30"/>
          <w:szCs w:val="30"/>
          <w:rtl/>
        </w:rPr>
        <w:t>لقد صبغت التركيبة التنمية اليابانية الاقتصادية خصوصية ذاتية، وميزتها  عن التجارب الانمائية المتقدمة، وذلك في ظل تضافر عوامل على تفردها، تمثلت في طريقة التعامل الامبراطور مع الشعب كان يقدسه، ويضعه في مرتبة لا تقبل النقاش حول ألوهيته، إذ أدى تنازل الامبراطور عن ألوهيته الى تغيير مفاهيم اليابانيين وتصوراتهم حول طبيعة الدولة. وأفرزت هذه التحولات شكلا جديدا للحكم، وانتقلت الدولة من طبيعتها العسكرية الى طبيعتها الاقتصادية؛ مما أدى إلى ولادة الدولة الإنمائية. أسهمت في محو الأمية والرعاية الصحية المكثفة، محاربة الفقر والتعليم الاكثر تطورا في العالم، تطوير المنشات الاقتصادية. إن ما يشير إلى أن تجربة اليابانية في التنمية الاقتصادية قائمة على دينامكية الاعتماد على الذات، هو هذا التعاون بين اعتماد الدولة الإنمائية على ذاتها في تطوير مواردها</w:t>
      </w:r>
      <w:r w:rsidRPr="00680080">
        <w:rPr>
          <w:rFonts w:ascii="Simplified Arabic" w:eastAsia="Times New Roman" w:hAnsi="Simplified Arabic" w:cs="Simplified Arabic"/>
          <w:color w:val="000000"/>
          <w:sz w:val="30"/>
          <w:szCs w:val="30"/>
          <w:vertAlign w:val="superscript"/>
          <w:rtl/>
        </w:rPr>
        <w:t>(</w:t>
      </w:r>
      <w:r w:rsidRPr="00680080">
        <w:rPr>
          <w:rFonts w:ascii="Times New Roman" w:eastAsia="Times New Roman" w:hAnsi="Times New Roman" w:cs="Times New Roman"/>
          <w:color w:val="000000"/>
          <w:sz w:val="24"/>
          <w:szCs w:val="24"/>
          <w:vertAlign w:val="superscript"/>
          <w:rtl/>
        </w:rPr>
        <w:footnoteReference w:id="12"/>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r w:rsidRPr="00680080">
        <w:rPr>
          <w:rFonts w:ascii="Simplified Arabic" w:eastAsia="Times New Roman" w:hAnsi="Simplified Arabic" w:cs="Simplified Arabic"/>
          <w:color w:val="FF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 xml:space="preserve">وفي هذا السياق توصف الدولة اليابانية "بالدولة التنموية" لأن الأولوية القصوى لديها كانت ولا تزال هي التنمية الاقتصادية، وليس التنظيم </w:t>
      </w:r>
      <w:r w:rsidRPr="00680080">
        <w:rPr>
          <w:rFonts w:ascii="Times New Roman" w:eastAsia="Times New Roman" w:hAnsi="Times New Roman" w:cs="Times New Roman"/>
          <w:color w:val="000000"/>
          <w:sz w:val="30"/>
          <w:szCs w:val="30"/>
        </w:rPr>
        <w:t>Regulation</w:t>
      </w:r>
      <w:r w:rsidRPr="00680080">
        <w:rPr>
          <w:rFonts w:ascii="Simplified Arabic" w:eastAsia="Times New Roman" w:hAnsi="Simplified Arabic" w:cs="Simplified Arabic"/>
          <w:color w:val="000000"/>
          <w:sz w:val="30"/>
          <w:szCs w:val="30"/>
          <w:rtl/>
        </w:rPr>
        <w:t xml:space="preserve"> (كما في الولايات المتحدة)، أو الرفاه </w:t>
      </w:r>
      <w:r w:rsidRPr="00680080">
        <w:rPr>
          <w:rFonts w:ascii="Times New Roman" w:eastAsia="Times New Roman" w:hAnsi="Times New Roman" w:cs="Times New Roman"/>
          <w:color w:val="000000"/>
          <w:sz w:val="30"/>
          <w:szCs w:val="30"/>
        </w:rPr>
        <w:t>welfare</w:t>
      </w:r>
      <w:r w:rsidRPr="00680080">
        <w:rPr>
          <w:rFonts w:ascii="Simplified Arabic" w:eastAsia="Times New Roman" w:hAnsi="Simplified Arabic" w:cs="Simplified Arabic"/>
          <w:color w:val="000000"/>
          <w:sz w:val="30"/>
          <w:szCs w:val="30"/>
          <w:rtl/>
        </w:rPr>
        <w:t xml:space="preserve"> (كما في أوربا)، أو الثورة (كما في الصين). أما مقاييس الأداء في هذا النموذج ذو التوجه الإنتاجي فهي تحقيق ادخار عال واستثمار عال أيضا بدلا من زيادة الاستهلاك والترف. وفي هذا السياق يتميز الاقتصاد الياباني بضخامة حجم </w:t>
      </w:r>
      <w:r w:rsidRPr="00680080">
        <w:rPr>
          <w:rFonts w:ascii="Simplified Arabic" w:eastAsia="Times New Roman" w:hAnsi="Simplified Arabic" w:cs="Simplified Arabic" w:hint="cs"/>
          <w:color w:val="000000"/>
          <w:sz w:val="30"/>
          <w:szCs w:val="30"/>
          <w:rtl/>
        </w:rPr>
        <w:t>إ</w:t>
      </w:r>
      <w:r w:rsidRPr="00680080">
        <w:rPr>
          <w:rFonts w:ascii="Simplified Arabic" w:eastAsia="Times New Roman" w:hAnsi="Simplified Arabic" w:cs="Simplified Arabic"/>
          <w:color w:val="000000"/>
          <w:sz w:val="30"/>
          <w:szCs w:val="30"/>
          <w:rtl/>
        </w:rPr>
        <w:t>دخاراته القومية التي وصلت إلى ما يقارب 40% من إجمالي الناتج القومي تقريبا في مرحلة ما بعد الحرب العالمية الثانية</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3"/>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 xml:space="preserve"> ومع ذلك فإن النظام الياباني هو "نظام رأسمالي" يستند على الملكية الخاصة والشركات الخاصة الهادفة إلى تحقيق الأرباح</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التي تشارك في أسواق محلية وعالمية ذات تنافسية عالية إلا </w:t>
      </w:r>
      <w:r w:rsidRPr="00680080">
        <w:rPr>
          <w:rFonts w:ascii="Simplified Arabic" w:eastAsia="Times New Roman" w:hAnsi="Simplified Arabic" w:cs="Simplified Arabic"/>
          <w:color w:val="000000"/>
          <w:sz w:val="30"/>
          <w:szCs w:val="30"/>
          <w:rtl/>
        </w:rPr>
        <w:lastRenderedPageBreak/>
        <w:t>أن الدولة هنا توجه السوق بدرجة أكبر بكثير مما يحدث في النموذج الأمريكي. ويشمل ذلك التوجيه مجموعة من السياسات والإجراءات الاقتصادية الرسمية وغير الرسمية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يتم إدراجها غالبا تحت مصطلح السياسة الاقتصادية ومن ضمنها فرض تعريفات حمائية وضرائب على الواردات، وتشجيع التعاون والحد من المنافسة المفرطة في القطاعات التصديرية الإستراتيجية وتقديم قروض بفوائد منخفضة، وإعفاءات ضريبية للشركات التي تقبل بالاستثمار في صناعات مستهدفة. ويتم صياغة تلك السياسات وتنفيذها بواسطة النخبة البيروقراطية الاقتصادية اليابانية بعد التشاور والتنسيق مع القطاع الخاص</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4"/>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ومع أن الدولة نفسها وكلاعب حقيقي في السوق لا تستحوذ على القواعد والإجراءات لكنها بدلا من ذلك تشغل نفسها بأهداف اجتماعية هامة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وخاصة تشجيع التنافسية الدولية للصناعة حيث توجه السياسة الصناعية للدولة نحو هذا الهدف.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FF0000"/>
          <w:sz w:val="30"/>
          <w:szCs w:val="30"/>
          <w:rtl/>
        </w:rPr>
      </w:pPr>
      <w:r w:rsidRPr="00680080">
        <w:rPr>
          <w:rFonts w:ascii="Simplified Arabic" w:eastAsia="Times New Roman" w:hAnsi="Simplified Arabic" w:cs="Simplified Arabic"/>
          <w:color w:val="000000"/>
          <w:sz w:val="30"/>
          <w:szCs w:val="30"/>
          <w:rtl/>
        </w:rPr>
        <w:t xml:space="preserve">كما أن التخطيط الاقتصادي طويل الأمد في اليابان يعود بالدرجة الأولى إلى وزارة التجارة الدولية والصناعة </w:t>
      </w:r>
      <w:r w:rsidRPr="00680080">
        <w:rPr>
          <w:rFonts w:ascii="Times New Roman" w:eastAsia="Times New Roman" w:hAnsi="Times New Roman" w:cs="Times New Roman"/>
          <w:color w:val="000000"/>
          <w:sz w:val="30"/>
          <w:szCs w:val="30"/>
        </w:rPr>
        <w:t>MITI</w:t>
      </w:r>
      <w:r w:rsidRPr="00680080">
        <w:rPr>
          <w:rFonts w:ascii="Simplified Arabic" w:eastAsia="Times New Roman" w:hAnsi="Simplified Arabic" w:cs="Simplified Arabic" w:hint="cs"/>
          <w:color w:val="000000"/>
          <w:sz w:val="30"/>
          <w:szCs w:val="30"/>
          <w:rtl/>
        </w:rPr>
        <w:t xml:space="preserve">، </w:t>
      </w:r>
      <w:r w:rsidRPr="00680080">
        <w:rPr>
          <w:rFonts w:ascii="Simplified Arabic" w:eastAsia="Times New Roman" w:hAnsi="Simplified Arabic" w:cs="Simplified Arabic"/>
          <w:color w:val="000000"/>
          <w:sz w:val="30"/>
          <w:szCs w:val="30"/>
          <w:rtl/>
        </w:rPr>
        <w:t>في توجيه التنمية نحو الصناعة الثقيلة وخاصة صناعة الحديد والصلب وبناء السفن والصناعات البتروكيماويات، وكان من أبرز نتائج هذه السياسة الصناعية تدعيم علاقات الحكومة بقطاع الأعمال، وتعزيز وضع الشركات الكبيرة، وتسريع النمو الاقتصادي</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5"/>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r w:rsidRPr="00680080">
        <w:rPr>
          <w:rFonts w:ascii="Simplified Arabic" w:eastAsia="Times New Roman" w:hAnsi="Simplified Arabic" w:cs="Simplified Arabic"/>
          <w:color w:val="000000"/>
          <w:sz w:val="30"/>
          <w:szCs w:val="30"/>
          <w:vertAlign w:val="superscript"/>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فالدولة خططت وحددت أولويات وساندت قطاع الأعمال الياباني. ولما كانت الحضارة اليابانية تكره النهي وتفضل التشاور والتراضي العام</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لم تضع الحكومة اليابانية وتنشر خططا تفصيلية في هذا المجال، وإنما كانت القرارات تتحقق بالتراضي، والالتزام يما يتم دون شكليات من خلال التواصل المستمر بين الحكومة وقطاع الأعمال</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6"/>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 xml:space="preserve"> فأسهمت الإدارة الحكومية الجديدة والنخب البيروقراطية بولادة دولة المركنتيلية الجديدة التي تعرف جيدا كيف تراقب جميع مراحل الإنتاج الاقتصادي والتوظيف المالي، داخل اليابان وخارجها، </w:t>
      </w:r>
      <w:r w:rsidRPr="00680080">
        <w:rPr>
          <w:rFonts w:ascii="Simplified Arabic" w:eastAsia="Times New Roman" w:hAnsi="Simplified Arabic" w:cs="Simplified Arabic"/>
          <w:color w:val="000000"/>
          <w:sz w:val="30"/>
          <w:szCs w:val="30"/>
          <w:rtl/>
        </w:rPr>
        <w:lastRenderedPageBreak/>
        <w:t>لتجني منها تراكما هائلا من الأموال التي تم توظيف قسم كبير منها في تنمية جميع قطاعات الإنتاج والخدمات في اليابان</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7"/>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وبناء اقتصاد قوي وصحي ومنافس عالميا والدفع بها لتصبح ثاني أكبر اقتصاد في العالم. ولذلك لم يكن غريبا أن يحاول العلماء وكذلك صناع القرار فهم تلك المعجزة التنموية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وأن تصبح دراسة نموذج الرأسمالية التنموية في اليابان حقلا هاما للدراسة الأكاديمية والتحليل السياسي.</w:t>
      </w:r>
    </w:p>
    <w:p w:rsidR="00680080" w:rsidRPr="00680080" w:rsidRDefault="00680080" w:rsidP="00680080">
      <w:pPr>
        <w:tabs>
          <w:tab w:val="right" w:pos="566"/>
        </w:tabs>
        <w:spacing w:before="120" w:after="0" w:line="276" w:lineRule="auto"/>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b/>
          <w:bCs/>
          <w:color w:val="000000"/>
          <w:sz w:val="30"/>
          <w:szCs w:val="30"/>
          <w:rtl/>
        </w:rPr>
        <w:t>المطلب الثاني: النموذج الألماني(اقتصاد السوق الاجتماعي):</w:t>
      </w:r>
      <w:r w:rsidRPr="00680080">
        <w:rPr>
          <w:rFonts w:ascii="Simplified Arabic" w:eastAsia="Times New Roman" w:hAnsi="Simplified Arabic" w:cs="Simplified Arabic"/>
          <w:color w:val="000000"/>
          <w:sz w:val="30"/>
          <w:szCs w:val="30"/>
          <w:rtl/>
        </w:rPr>
        <w:t xml:space="preserve"> تم صياغة هذا المفهوم على يد ألفريد مولر ألمارك ولودفينغ ايرهاد، استنادا إلى أفكار مدرسة فرايبورغ، بمعنى أن الأول قدم المفهوم النظري والثاني التطبيق العملي على اعتبار أنه كان أب ما يسمى بالمعجزة الألمانية بعد الحرب</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8"/>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يشير هذا الأسلوب (اقتصاد السوق الاجتماعي) إلى النظام السياسي والاقتصادي الذي صمم على مبادئ وقواعد اقتصاد السوق (مدرسة فرايبورغ)، ومن ناحية ثانية كان قد دعم بالمؤسسات التي أعطت الإضافات الاجتماعية، لتقييد وحصر النتائج السلبية لحرية السوق، ومع الإدارة التشريعية التي تهدف لمحاربة المركزية الاقتصادية والاستخدام السيئ للسلطة</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19"/>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hint="cs"/>
          <w:color w:val="000000"/>
          <w:sz w:val="30"/>
          <w:szCs w:val="30"/>
          <w:rtl/>
        </w:rPr>
        <w:t>.</w:t>
      </w:r>
    </w:p>
    <w:p w:rsidR="00680080" w:rsidRPr="00680080" w:rsidRDefault="00680080" w:rsidP="00680080">
      <w:pPr>
        <w:tabs>
          <w:tab w:val="right" w:pos="566"/>
        </w:tabs>
        <w:spacing w:before="120" w:after="0" w:line="276" w:lineRule="auto"/>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وعليه فإن هذا المفهوم يشمل الكثير من المعاني في طياته</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0"/>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numPr>
          <w:ilvl w:val="0"/>
          <w:numId w:val="1"/>
        </w:numPr>
        <w:tabs>
          <w:tab w:val="right" w:pos="283"/>
          <w:tab w:val="right" w:pos="566"/>
          <w:tab w:val="right" w:pos="849"/>
        </w:tabs>
        <w:spacing w:after="0" w:line="276" w:lineRule="auto"/>
        <w:ind w:firstLine="566"/>
        <w:jc w:val="lowKashida"/>
        <w:rPr>
          <w:rFonts w:ascii="Simplified Arabic" w:eastAsia="Times New Roman" w:hAnsi="Simplified Arabic" w:cs="Simplified Arabic"/>
          <w:color w:val="000000"/>
          <w:sz w:val="30"/>
          <w:szCs w:val="30"/>
        </w:rPr>
      </w:pPr>
      <w:r w:rsidRPr="00680080">
        <w:rPr>
          <w:rFonts w:ascii="Simplified Arabic" w:eastAsia="Times New Roman" w:hAnsi="Simplified Arabic" w:cs="Simplified Arabic"/>
          <w:color w:val="000000"/>
          <w:sz w:val="30"/>
          <w:szCs w:val="30"/>
          <w:rtl/>
        </w:rPr>
        <w:t>حماية المنافسة الاقتصادية.</w:t>
      </w:r>
    </w:p>
    <w:p w:rsidR="00680080" w:rsidRPr="00680080" w:rsidRDefault="00680080" w:rsidP="00680080">
      <w:pPr>
        <w:numPr>
          <w:ilvl w:val="0"/>
          <w:numId w:val="1"/>
        </w:numPr>
        <w:tabs>
          <w:tab w:val="right" w:pos="283"/>
          <w:tab w:val="right" w:pos="566"/>
          <w:tab w:val="right" w:pos="849"/>
        </w:tabs>
        <w:spacing w:after="0" w:line="276" w:lineRule="auto"/>
        <w:ind w:firstLine="566"/>
        <w:jc w:val="lowKashida"/>
        <w:rPr>
          <w:rFonts w:ascii="Simplified Arabic" w:eastAsia="Times New Roman" w:hAnsi="Simplified Arabic" w:cs="Simplified Arabic"/>
          <w:color w:val="000000"/>
          <w:sz w:val="30"/>
          <w:szCs w:val="30"/>
        </w:rPr>
      </w:pPr>
      <w:r w:rsidRPr="00680080">
        <w:rPr>
          <w:rFonts w:ascii="Simplified Arabic" w:eastAsia="Times New Roman" w:hAnsi="Simplified Arabic" w:cs="Simplified Arabic"/>
          <w:color w:val="000000"/>
          <w:sz w:val="30"/>
          <w:szCs w:val="30"/>
          <w:rtl/>
        </w:rPr>
        <w:t>تحقيق العدالة الاجتماعية في توزيع الدخل.</w:t>
      </w:r>
    </w:p>
    <w:p w:rsidR="00680080" w:rsidRPr="00680080" w:rsidRDefault="00680080" w:rsidP="00680080">
      <w:pPr>
        <w:numPr>
          <w:ilvl w:val="0"/>
          <w:numId w:val="1"/>
        </w:numPr>
        <w:tabs>
          <w:tab w:val="right" w:pos="283"/>
          <w:tab w:val="right" w:pos="566"/>
          <w:tab w:val="right" w:pos="849"/>
        </w:tabs>
        <w:spacing w:after="0" w:line="276" w:lineRule="auto"/>
        <w:ind w:firstLine="566"/>
        <w:jc w:val="lowKashida"/>
        <w:rPr>
          <w:rFonts w:ascii="Simplified Arabic" w:eastAsia="Times New Roman" w:hAnsi="Simplified Arabic" w:cs="Simplified Arabic"/>
          <w:color w:val="000000"/>
          <w:sz w:val="30"/>
          <w:szCs w:val="30"/>
        </w:rPr>
      </w:pPr>
      <w:r w:rsidRPr="00680080">
        <w:rPr>
          <w:rFonts w:ascii="Simplified Arabic" w:eastAsia="Times New Roman" w:hAnsi="Simplified Arabic" w:cs="Simplified Arabic"/>
          <w:color w:val="000000"/>
          <w:sz w:val="30"/>
          <w:szCs w:val="30"/>
          <w:rtl/>
        </w:rPr>
        <w:t>تطوير آليات السوق لتكون عنصرا هاما في تحقيق الضمان والتوازن الاجتماعي</w:t>
      </w:r>
    </w:p>
    <w:p w:rsidR="00680080" w:rsidRPr="00680080" w:rsidRDefault="00680080" w:rsidP="00680080">
      <w:pPr>
        <w:numPr>
          <w:ilvl w:val="0"/>
          <w:numId w:val="1"/>
        </w:numPr>
        <w:tabs>
          <w:tab w:val="right" w:pos="283"/>
          <w:tab w:val="right" w:pos="566"/>
          <w:tab w:val="right" w:pos="849"/>
        </w:tabs>
        <w:spacing w:after="0" w:line="276" w:lineRule="auto"/>
        <w:ind w:firstLine="566"/>
        <w:jc w:val="lowKashida"/>
        <w:rPr>
          <w:rFonts w:ascii="Simplified Arabic" w:eastAsia="Times New Roman" w:hAnsi="Simplified Arabic" w:cs="Simplified Arabic"/>
          <w:color w:val="000000"/>
          <w:sz w:val="30"/>
          <w:szCs w:val="30"/>
        </w:rPr>
      </w:pPr>
      <w:r w:rsidRPr="00680080">
        <w:rPr>
          <w:rFonts w:ascii="Simplified Arabic" w:eastAsia="Times New Roman" w:hAnsi="Simplified Arabic" w:cs="Simplified Arabic"/>
          <w:color w:val="000000"/>
          <w:sz w:val="30"/>
          <w:szCs w:val="30"/>
          <w:rtl/>
        </w:rPr>
        <w:lastRenderedPageBreak/>
        <w:t>العمل على تأمين حقوق الإنسان الحضارية المثبتة بموجب الشرائع الدولية.</w:t>
      </w:r>
    </w:p>
    <w:p w:rsidR="00680080" w:rsidRPr="00680080" w:rsidRDefault="00680080" w:rsidP="00680080">
      <w:pPr>
        <w:tabs>
          <w:tab w:val="right" w:pos="283"/>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وهذا ما أشارت إليه التعريفات المختلفة</w:t>
      </w:r>
      <w:r w:rsidRPr="00680080">
        <w:rPr>
          <w:rFonts w:ascii="Simplified Arabic" w:eastAsia="Times New Roman" w:hAnsi="Simplified Arabic" w:cs="Simplified Arabic" w:hint="cs"/>
          <w:color w:val="000000"/>
          <w:sz w:val="30"/>
          <w:szCs w:val="30"/>
          <w:rtl/>
        </w:rPr>
        <w:t xml:space="preserve"> لإ</w:t>
      </w:r>
      <w:r w:rsidRPr="00680080">
        <w:rPr>
          <w:rFonts w:ascii="Simplified Arabic" w:eastAsia="Times New Roman" w:hAnsi="Simplified Arabic" w:cs="Simplified Arabic"/>
          <w:color w:val="000000"/>
          <w:sz w:val="30"/>
          <w:szCs w:val="30"/>
          <w:rtl/>
        </w:rPr>
        <w:t xml:space="preserve">قتصاد السوق الاجتماعي، حيث عرف مولر أرماك اقتصاد السوق الاجتماعي، </w:t>
      </w:r>
      <w:r w:rsidRPr="00680080">
        <w:rPr>
          <w:rFonts w:ascii="Simplified Arabic" w:eastAsia="Times New Roman" w:hAnsi="Simplified Arabic" w:cs="Simplified Arabic" w:hint="cs"/>
          <w:color w:val="000000"/>
          <w:sz w:val="30"/>
          <w:szCs w:val="30"/>
          <w:rtl/>
        </w:rPr>
        <w:t xml:space="preserve">على أنه </w:t>
      </w:r>
      <w:r w:rsidRPr="00680080">
        <w:rPr>
          <w:rFonts w:ascii="Simplified Arabic" w:eastAsia="Times New Roman" w:hAnsi="Simplified Arabic" w:cs="Simplified Arabic"/>
          <w:color w:val="000000"/>
          <w:sz w:val="30"/>
          <w:szCs w:val="30"/>
          <w:rtl/>
        </w:rPr>
        <w:t>ليس كنظرية تنافسية خاصة، ولكن كمفهوم إيديولوجي بهدف خلق وتعزيز علاقات التعاون والتنسيق بين مختلف مجالات المجتمع، متضمنة مختلف تكوينات الطبقة الواحدة، واعتبره  فكرة استراتيجية تروج لتعاون حقيقي بين مجموعات المجتمع المختلفة المعروفة بالاختلاف والتعارض في الأهداف، كما يهدف لوصول بعض الأهداف الاجتماعية للعمال والعمل في كامل النظام الاقتصادي</w:t>
      </w:r>
      <w:r w:rsidRPr="00680080">
        <w:rPr>
          <w:rFonts w:ascii="Simplified Arabic" w:eastAsia="Times New Roman" w:hAnsi="Simplified Arabic" w:cs="Simplified Arabic" w:hint="cs"/>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1"/>
      </w:r>
      <w:r w:rsidRPr="00680080">
        <w:rPr>
          <w:rFonts w:ascii="Simplified Arabic" w:eastAsia="Times New Roman" w:hAnsi="Simplified Arabic" w:cs="Simplified Arabic" w:hint="cs"/>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283"/>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 xml:space="preserve">وعرفه روبرت أيدرر على </w:t>
      </w:r>
      <w:r w:rsidRPr="00680080">
        <w:rPr>
          <w:rFonts w:ascii="Simplified Arabic" w:eastAsia="Times New Roman" w:hAnsi="Simplified Arabic" w:cs="Simplified Arabic" w:hint="cs"/>
          <w:color w:val="000000"/>
          <w:sz w:val="30"/>
          <w:szCs w:val="30"/>
          <w:rtl/>
        </w:rPr>
        <w:t>أ</w:t>
      </w:r>
      <w:r w:rsidRPr="00680080">
        <w:rPr>
          <w:rFonts w:ascii="Simplified Arabic" w:eastAsia="Times New Roman" w:hAnsi="Simplified Arabic" w:cs="Simplified Arabic"/>
          <w:color w:val="000000"/>
          <w:sz w:val="30"/>
          <w:szCs w:val="30"/>
          <w:rtl/>
        </w:rPr>
        <w:t>نه نظام اقتصادي اجتماعي توجد فيه العمليات الاقتصادية الأساسية</w:t>
      </w:r>
      <w:r w:rsidRPr="00680080">
        <w:rPr>
          <w:rFonts w:ascii="Simplified Arabic" w:eastAsia="Times New Roman" w:hAnsi="Simplified Arabic" w:cs="Simplified Arabic"/>
          <w:color w:val="000000"/>
          <w:sz w:val="30"/>
          <w:szCs w:val="30"/>
        </w:rPr>
        <w:t xml:space="preserve"> </w:t>
      </w:r>
      <w:r w:rsidRPr="00680080">
        <w:rPr>
          <w:rFonts w:ascii="Simplified Arabic" w:eastAsia="Times New Roman" w:hAnsi="Simplified Arabic" w:cs="Simplified Arabic"/>
          <w:color w:val="000000"/>
          <w:sz w:val="30"/>
          <w:szCs w:val="30"/>
          <w:rtl/>
        </w:rPr>
        <w:t>(</w:t>
      </w:r>
      <w:r w:rsidRPr="00680080">
        <w:rPr>
          <w:rFonts w:ascii="Simplified Arabic" w:eastAsia="Times New Roman" w:hAnsi="Simplified Arabic" w:cs="Simplified Arabic" w:hint="cs"/>
          <w:color w:val="000000"/>
          <w:sz w:val="30"/>
          <w:szCs w:val="30"/>
          <w:rtl/>
        </w:rPr>
        <w:t>ال</w:t>
      </w:r>
      <w:r w:rsidRPr="00680080">
        <w:rPr>
          <w:rFonts w:ascii="Simplified Arabic" w:eastAsia="Times New Roman" w:hAnsi="Simplified Arabic" w:cs="Simplified Arabic"/>
          <w:color w:val="000000"/>
          <w:sz w:val="30"/>
          <w:szCs w:val="30"/>
          <w:rtl/>
        </w:rPr>
        <w:t xml:space="preserve">إنتاج، </w:t>
      </w:r>
      <w:r w:rsidRPr="00680080">
        <w:rPr>
          <w:rFonts w:ascii="Simplified Arabic" w:eastAsia="Times New Roman" w:hAnsi="Simplified Arabic" w:cs="Simplified Arabic" w:hint="cs"/>
          <w:color w:val="000000"/>
          <w:sz w:val="30"/>
          <w:szCs w:val="30"/>
          <w:rtl/>
        </w:rPr>
        <w:t>ال</w:t>
      </w:r>
      <w:r w:rsidRPr="00680080">
        <w:rPr>
          <w:rFonts w:ascii="Simplified Arabic" w:eastAsia="Times New Roman" w:hAnsi="Simplified Arabic" w:cs="Simplified Arabic"/>
          <w:color w:val="000000"/>
          <w:sz w:val="30"/>
          <w:szCs w:val="30"/>
          <w:rtl/>
        </w:rPr>
        <w:t xml:space="preserve">تبادل، </w:t>
      </w:r>
      <w:r w:rsidRPr="00680080">
        <w:rPr>
          <w:rFonts w:ascii="Simplified Arabic" w:eastAsia="Times New Roman" w:hAnsi="Simplified Arabic" w:cs="Simplified Arabic" w:hint="cs"/>
          <w:color w:val="000000"/>
          <w:sz w:val="30"/>
          <w:szCs w:val="30"/>
          <w:rtl/>
        </w:rPr>
        <w:t>ال</w:t>
      </w:r>
      <w:r w:rsidRPr="00680080">
        <w:rPr>
          <w:rFonts w:ascii="Simplified Arabic" w:eastAsia="Times New Roman" w:hAnsi="Simplified Arabic" w:cs="Simplified Arabic"/>
          <w:color w:val="000000"/>
          <w:sz w:val="30"/>
          <w:szCs w:val="30"/>
          <w:rtl/>
        </w:rPr>
        <w:t>توزيع)، ويعمل الجزء الأكبر ردا على القرارات الحرة للمستهلكين والمنجين والمنافسين في السوق، حيث تخضع أهدافهم للتقييد عن طريق طلبات العدالة الاجتماعية</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2"/>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283"/>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ويعرف اقتصاد السوق على أنه مفهوم سياسة النظام الاقتصادي الذي يستند على حرية السوق، لكنه بنفس الوقت يتضمن عناصر التوازن الاجتماعي</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3"/>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p>
    <w:p w:rsidR="00680080" w:rsidRPr="00680080" w:rsidRDefault="00680080" w:rsidP="00680080">
      <w:pPr>
        <w:tabs>
          <w:tab w:val="right" w:pos="283"/>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ونلاحظ أن الجميع يعتبرون اقتصاد السوق الاجتماعي نظاما كاملا يستند إلى أفكار الحرية الاقتصادية، بالإضافة إلى تضمنه أهدافا وغايات اجتماعية تحقق العدالة بين فئات المجتمع كافة.</w:t>
      </w:r>
    </w:p>
    <w:p w:rsidR="00680080" w:rsidRPr="00680080" w:rsidRDefault="00680080" w:rsidP="00680080">
      <w:pPr>
        <w:tabs>
          <w:tab w:val="right" w:pos="283"/>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 xml:space="preserve">وبالرغم من الأسس الليبرالية لاقتصاد السوق الاجتماعي، إلا أن هناك بعض الاختلافات بينهما تتلخص في الجدول الأتي: </w:t>
      </w:r>
    </w:p>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b/>
          <w:bCs/>
          <w:color w:val="000000"/>
          <w:sz w:val="30"/>
          <w:szCs w:val="30"/>
          <w:rtl/>
        </w:rPr>
      </w:pPr>
      <w:r w:rsidRPr="00680080">
        <w:rPr>
          <w:rFonts w:ascii="Simplified Arabic" w:eastAsia="Times New Roman" w:hAnsi="Simplified Arabic" w:cs="Simplified Arabic"/>
          <w:b/>
          <w:bCs/>
          <w:color w:val="000000"/>
          <w:sz w:val="30"/>
          <w:szCs w:val="30"/>
          <w:rtl/>
        </w:rPr>
        <w:t>الجدول رقم(</w:t>
      </w:r>
      <w:r w:rsidRPr="00680080">
        <w:rPr>
          <w:rFonts w:ascii="Simplified Arabic" w:eastAsia="Times New Roman" w:hAnsi="Simplified Arabic" w:cs="Simplified Arabic" w:hint="cs"/>
          <w:b/>
          <w:bCs/>
          <w:color w:val="000000"/>
          <w:sz w:val="30"/>
          <w:szCs w:val="30"/>
          <w:rtl/>
        </w:rPr>
        <w:t>2</w:t>
      </w:r>
      <w:r w:rsidRPr="00680080">
        <w:rPr>
          <w:rFonts w:ascii="Simplified Arabic" w:eastAsia="Times New Roman" w:hAnsi="Simplified Arabic" w:cs="Simplified Arabic"/>
          <w:b/>
          <w:bCs/>
          <w:color w:val="000000"/>
          <w:sz w:val="30"/>
          <w:szCs w:val="30"/>
          <w:rtl/>
        </w:rPr>
        <w:t>): الاختلاف بين اقتصاد السوق الاجتماعي واقتصاد السوق الليبرالي</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2"/>
        <w:gridCol w:w="4530"/>
      </w:tblGrid>
      <w:tr w:rsidR="00680080" w:rsidRPr="00680080" w:rsidTr="00803352">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b/>
                <w:bCs/>
                <w:color w:val="000000"/>
                <w:sz w:val="30"/>
                <w:szCs w:val="30"/>
                <w:rtl/>
              </w:rPr>
            </w:pPr>
            <w:r w:rsidRPr="00680080">
              <w:rPr>
                <w:rFonts w:ascii="Simplified Arabic" w:eastAsia="Times New Roman" w:hAnsi="Simplified Arabic" w:cs="Simplified Arabic"/>
                <w:b/>
                <w:bCs/>
                <w:color w:val="000000"/>
                <w:sz w:val="30"/>
                <w:szCs w:val="30"/>
                <w:rtl/>
              </w:rPr>
              <w:t>اقتصاد السوق الاجتماعي</w:t>
            </w:r>
          </w:p>
        </w:tc>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b/>
                <w:bCs/>
                <w:color w:val="000000"/>
                <w:sz w:val="30"/>
                <w:szCs w:val="30"/>
                <w:rtl/>
              </w:rPr>
            </w:pPr>
            <w:r w:rsidRPr="00680080">
              <w:rPr>
                <w:rFonts w:ascii="Simplified Arabic" w:eastAsia="Times New Roman" w:hAnsi="Simplified Arabic" w:cs="Simplified Arabic"/>
                <w:b/>
                <w:bCs/>
                <w:color w:val="000000"/>
                <w:sz w:val="30"/>
                <w:szCs w:val="30"/>
                <w:rtl/>
              </w:rPr>
              <w:t>اقتصاد السوق الليبرالي</w:t>
            </w:r>
          </w:p>
        </w:tc>
      </w:tr>
      <w:tr w:rsidR="00680080" w:rsidRPr="00680080" w:rsidTr="00803352">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lastRenderedPageBreak/>
              <w:t>التركيز المتوازن على الأهداف الاقتصادية والاجتماعية</w:t>
            </w:r>
          </w:p>
        </w:tc>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أولوية الأهداف الاقتصادية</w:t>
            </w:r>
          </w:p>
        </w:tc>
      </w:tr>
      <w:tr w:rsidR="00680080" w:rsidRPr="00680080" w:rsidTr="00803352">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التركيز على حقوق الإنسان</w:t>
            </w:r>
          </w:p>
        </w:tc>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التركيز على الحرية الفردية</w:t>
            </w:r>
          </w:p>
        </w:tc>
      </w:tr>
      <w:tr w:rsidR="00680080" w:rsidRPr="00680080" w:rsidTr="00803352">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توازن بين الإنتاجية والأهداف الاجتماعية</w:t>
            </w:r>
          </w:p>
        </w:tc>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التركيز على الإنتاجية</w:t>
            </w:r>
          </w:p>
        </w:tc>
      </w:tr>
      <w:tr w:rsidR="00680080" w:rsidRPr="00680080" w:rsidTr="00803352">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التدخل المنظم للدولة في الاقتصاد</w:t>
            </w:r>
          </w:p>
        </w:tc>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حياد دور الدولة تجاه السوق</w:t>
            </w:r>
          </w:p>
        </w:tc>
      </w:tr>
      <w:tr w:rsidR="00680080" w:rsidRPr="00680080" w:rsidTr="00803352">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توسيع دائرة الضمان الاجتماعي</w:t>
            </w:r>
          </w:p>
        </w:tc>
        <w:tc>
          <w:tcPr>
            <w:tcW w:w="4606" w:type="dxa"/>
          </w:tcPr>
          <w:p w:rsidR="00680080" w:rsidRPr="00680080" w:rsidRDefault="00680080" w:rsidP="00680080">
            <w:pPr>
              <w:tabs>
                <w:tab w:val="right" w:pos="283"/>
                <w:tab w:val="right" w:pos="566"/>
              </w:tabs>
              <w:spacing w:after="0" w:line="240" w:lineRule="auto"/>
              <w:ind w:hanging="1"/>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تضييق دائرة الضمان الاجتماعي على الحقوق الأساسية</w:t>
            </w:r>
          </w:p>
        </w:tc>
      </w:tr>
    </w:tbl>
    <w:p w:rsidR="00680080" w:rsidRPr="00680080" w:rsidRDefault="00680080" w:rsidP="00680080">
      <w:pPr>
        <w:tabs>
          <w:tab w:val="right" w:pos="283"/>
          <w:tab w:val="right" w:pos="566"/>
        </w:tabs>
        <w:spacing w:before="120" w:after="0" w:line="276" w:lineRule="auto"/>
        <w:rPr>
          <w:rFonts w:ascii="Times New Roman" w:eastAsia="Times New Roman" w:hAnsi="Times New Roman" w:cs="Times New Roman"/>
          <w:color w:val="000000"/>
          <w:sz w:val="30"/>
          <w:szCs w:val="30"/>
          <w:rtl/>
        </w:rPr>
      </w:pPr>
      <w:r w:rsidRPr="00680080">
        <w:rPr>
          <w:rFonts w:ascii="Times New Roman" w:eastAsia="Times New Roman" w:hAnsi="Times New Roman" w:cs="Times New Roman"/>
          <w:color w:val="000000"/>
          <w:sz w:val="30"/>
          <w:szCs w:val="30"/>
          <w:rtl/>
        </w:rPr>
        <w:t xml:space="preserve"> </w:t>
      </w:r>
      <w:r w:rsidRPr="00680080">
        <w:rPr>
          <w:rFonts w:ascii="Times New Roman" w:eastAsia="Times New Roman" w:hAnsi="Times New Roman" w:cs="Times New Roman" w:hint="cs"/>
          <w:b/>
          <w:bCs/>
          <w:color w:val="000000"/>
          <w:sz w:val="30"/>
          <w:szCs w:val="30"/>
          <w:rtl/>
        </w:rPr>
        <w:t>المصدر</w:t>
      </w:r>
      <w:r w:rsidRPr="00680080">
        <w:rPr>
          <w:rFonts w:ascii="Times New Roman" w:eastAsia="Times New Roman" w:hAnsi="Times New Roman" w:cs="Times New Roman" w:hint="cs"/>
          <w:color w:val="000000"/>
          <w:sz w:val="30"/>
          <w:szCs w:val="30"/>
          <w:rtl/>
        </w:rPr>
        <w:t xml:space="preserve">: </w:t>
      </w:r>
      <w:r w:rsidRPr="00680080">
        <w:rPr>
          <w:rFonts w:ascii="Times New Roman" w:eastAsia="Times New Roman" w:hAnsi="Times New Roman" w:cs="Simplified Arabic" w:hint="cs"/>
          <w:sz w:val="30"/>
          <w:szCs w:val="30"/>
          <w:rtl/>
        </w:rPr>
        <w:t xml:space="preserve">نور الدين هرمز و باسل سلامة، </w:t>
      </w:r>
      <w:r w:rsidRPr="00680080">
        <w:rPr>
          <w:rFonts w:ascii="Times New Roman" w:eastAsia="Times New Roman" w:hAnsi="Times New Roman" w:cs="Simplified Arabic" w:hint="cs"/>
          <w:b/>
          <w:bCs/>
          <w:sz w:val="30"/>
          <w:szCs w:val="30"/>
          <w:u w:val="single"/>
          <w:rtl/>
        </w:rPr>
        <w:t>المرجع السابق</w:t>
      </w:r>
      <w:r w:rsidRPr="00680080">
        <w:rPr>
          <w:rFonts w:ascii="Times New Roman" w:eastAsia="Times New Roman" w:hAnsi="Times New Roman" w:cs="Simplified Arabic" w:hint="cs"/>
          <w:sz w:val="30"/>
          <w:szCs w:val="30"/>
          <w:rtl/>
        </w:rPr>
        <w:t>، ص132.</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color w:val="000000"/>
          <w:sz w:val="30"/>
          <w:szCs w:val="30"/>
          <w:rtl/>
        </w:rPr>
        <w:t>وقدمت معاهدة إنشاء الاتحاد النقدي والاقتصادي والاجتماعي بين جمهورية ألمانيا الاتحادية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وجمهورية ألمانيا الديمقراطية</w:t>
      </w:r>
      <w:r w:rsidRPr="00680080">
        <w:rPr>
          <w:rFonts w:ascii="Simplified Arabic" w:eastAsia="Times New Roman" w:hAnsi="Simplified Arabic" w:cs="Simplified Arabic" w:hint="cs"/>
          <w:color w:val="000000"/>
          <w:sz w:val="30"/>
          <w:szCs w:val="30"/>
          <w:rtl/>
        </w:rPr>
        <w:t xml:space="preserve"> </w:t>
      </w:r>
      <w:r w:rsidRPr="00680080">
        <w:rPr>
          <w:rFonts w:ascii="Simplified Arabic" w:eastAsia="Times New Roman" w:hAnsi="Simplified Arabic" w:cs="Simplified Arabic"/>
          <w:color w:val="000000"/>
          <w:sz w:val="30"/>
          <w:szCs w:val="30"/>
        </w:rPr>
        <w:t>18</w:t>
      </w:r>
      <w:r w:rsidRPr="00680080">
        <w:rPr>
          <w:rFonts w:ascii="Simplified Arabic" w:eastAsia="Times New Roman" w:hAnsi="Simplified Arabic" w:cs="Simplified Arabic"/>
          <w:color w:val="000000"/>
          <w:sz w:val="30"/>
          <w:szCs w:val="30"/>
          <w:rtl/>
        </w:rPr>
        <w:t>ماي 1990</w:t>
      </w:r>
      <w:r w:rsidRPr="00680080">
        <w:rPr>
          <w:rFonts w:ascii="Simplified Arabic" w:eastAsia="Times New Roman" w:hAnsi="Simplified Arabic" w:cs="Simplified Arabic"/>
          <w:color w:val="000000"/>
          <w:sz w:val="30"/>
          <w:szCs w:val="30"/>
        </w:rPr>
        <w:t xml:space="preserve"> </w:t>
      </w:r>
      <w:r w:rsidRPr="00680080">
        <w:rPr>
          <w:rFonts w:ascii="Simplified Arabic" w:eastAsia="Times New Roman" w:hAnsi="Simplified Arabic" w:cs="Simplified Arabic"/>
          <w:color w:val="000000"/>
          <w:sz w:val="30"/>
          <w:szCs w:val="30"/>
          <w:rtl/>
        </w:rPr>
        <w:t>تعريفا للاقتصاد السوق الاجتماعي</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Pr>
        <w:t xml:space="preserve"> "</w:t>
      </w:r>
      <w:r w:rsidRPr="00680080">
        <w:rPr>
          <w:rFonts w:ascii="Simplified Arabic" w:eastAsia="Times New Roman" w:hAnsi="Simplified Arabic" w:cs="Simplified Arabic"/>
          <w:color w:val="000000"/>
          <w:sz w:val="30"/>
          <w:szCs w:val="30"/>
          <w:rtl/>
        </w:rPr>
        <w:t xml:space="preserve">سوف تعتمد الوحدة الاقتصادية على اقتصاد السوق الاجتماعي باعتباره النظام الاقتصادي ولكن مشتركة في كل من الأطراف المتعاقدة، يتم تعريفه بما في ذلك الملكية الخاصة، والمنافسة العادلة، وتشكيل السعر الحر ومبدأ حرية تنقل العمال ورؤوس الأموال والسلع والخدمات، وهذا الحكم </w:t>
      </w:r>
      <w:r w:rsidRPr="00680080">
        <w:rPr>
          <w:rFonts w:ascii="Simplified Arabic" w:eastAsia="Times New Roman" w:hAnsi="Simplified Arabic" w:cs="Simplified Arabic" w:hint="cs"/>
          <w:color w:val="000000"/>
          <w:sz w:val="30"/>
          <w:szCs w:val="30"/>
          <w:rtl/>
        </w:rPr>
        <w:t xml:space="preserve">يتضمن </w:t>
      </w:r>
      <w:r w:rsidRPr="00680080">
        <w:rPr>
          <w:rFonts w:ascii="Simplified Arabic" w:eastAsia="Times New Roman" w:hAnsi="Simplified Arabic" w:cs="Simplified Arabic"/>
          <w:color w:val="000000"/>
          <w:sz w:val="30"/>
          <w:szCs w:val="30"/>
          <w:rtl/>
        </w:rPr>
        <w:t>عدم استبعاد السلطة القانونية لأشكال معينة من الممتلكات للسماح لمشاركة السلطات العامة أو الجهات الأخرى لتبادل السلع الاقتصادية</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شريطة أن</w:t>
      </w:r>
      <w:r w:rsidRPr="00680080">
        <w:rPr>
          <w:rFonts w:ascii="Simplified Arabic" w:eastAsia="Times New Roman" w:hAnsi="Simplified Arabic" w:cs="Simplified Arabic" w:hint="cs"/>
          <w:color w:val="000000"/>
          <w:sz w:val="30"/>
          <w:szCs w:val="30"/>
          <w:rtl/>
        </w:rPr>
        <w:t xml:space="preserve"> تحمي</w:t>
      </w:r>
      <w:r w:rsidRPr="00680080">
        <w:rPr>
          <w:rFonts w:ascii="Simplified Arabic" w:eastAsia="Times New Roman" w:hAnsi="Simplified Arabic" w:cs="Simplified Arabic"/>
          <w:color w:val="000000"/>
          <w:sz w:val="30"/>
          <w:szCs w:val="30"/>
          <w:rtl/>
        </w:rPr>
        <w:t xml:space="preserve"> المصالح الخاصة وبالتالي عدم التمييز ضد</w:t>
      </w:r>
      <w:r w:rsidRPr="00680080">
        <w:rPr>
          <w:rFonts w:ascii="Simplified Arabic" w:eastAsia="Times New Roman" w:hAnsi="Simplified Arabic" w:cs="Simplified Arabic" w:hint="cs"/>
          <w:color w:val="000000"/>
          <w:sz w:val="30"/>
          <w:szCs w:val="30"/>
          <w:rtl/>
        </w:rPr>
        <w:t>ها</w:t>
      </w:r>
      <w:r w:rsidRPr="00680080">
        <w:rPr>
          <w:rFonts w:ascii="Simplified Arabic" w:eastAsia="Times New Roman" w:hAnsi="Simplified Arabic" w:cs="Simplified Arabic"/>
          <w:color w:val="000000"/>
          <w:sz w:val="30"/>
          <w:szCs w:val="30"/>
        </w:rPr>
        <w:t>.</w:t>
      </w:r>
      <w:r w:rsidRPr="00680080">
        <w:rPr>
          <w:rFonts w:ascii="Simplified Arabic" w:eastAsia="Times New Roman" w:hAnsi="Simplified Arabic" w:cs="Simplified Arabic" w:hint="cs"/>
          <w:color w:val="000000"/>
          <w:sz w:val="30"/>
          <w:szCs w:val="30"/>
          <w:rtl/>
        </w:rPr>
        <w:t xml:space="preserve"> </w:t>
      </w:r>
      <w:r w:rsidRPr="00680080">
        <w:rPr>
          <w:rFonts w:ascii="Simplified Arabic" w:eastAsia="Times New Roman" w:hAnsi="Simplified Arabic" w:cs="Simplified Arabic"/>
          <w:color w:val="000000"/>
          <w:sz w:val="30"/>
          <w:szCs w:val="30"/>
          <w:rtl/>
        </w:rPr>
        <w:t>وسوف تأخذ في الاعتبار متطلبات حماية البيئة</w:t>
      </w:r>
      <w:r w:rsidRPr="00680080">
        <w:rPr>
          <w:rFonts w:ascii="Simplified Arabic" w:eastAsia="Times New Roman" w:hAnsi="Simplified Arabic" w:cs="Simplified Arabic"/>
          <w:color w:val="000000"/>
          <w:sz w:val="30"/>
          <w:szCs w:val="30"/>
          <w:vertAlign w:val="superscript"/>
        </w:rPr>
        <w:t>(</w:t>
      </w:r>
      <w:r w:rsidRPr="00680080">
        <w:rPr>
          <w:rFonts w:ascii="Simplified Arabic" w:eastAsia="Times New Roman" w:hAnsi="Simplified Arabic" w:cs="Simplified Arabic"/>
          <w:color w:val="000000"/>
          <w:sz w:val="30"/>
          <w:szCs w:val="30"/>
          <w:vertAlign w:val="superscript"/>
        </w:rPr>
        <w:footnoteReference w:id="24"/>
      </w:r>
      <w:r w:rsidRPr="00680080">
        <w:rPr>
          <w:rFonts w:ascii="Simplified Arabic" w:eastAsia="Times New Roman" w:hAnsi="Simplified Arabic" w:cs="Simplified Arabic"/>
          <w:color w:val="000000"/>
          <w:sz w:val="30"/>
          <w:szCs w:val="30"/>
          <w:vertAlign w:val="superscript"/>
        </w:rPr>
        <w:t>)</w:t>
      </w:r>
      <w:r w:rsidRPr="00680080">
        <w:rPr>
          <w:rFonts w:ascii="Simplified Arabic" w:eastAsia="Times New Roman" w:hAnsi="Simplified Arabic" w:cs="Simplified Arabic"/>
          <w:color w:val="000000"/>
          <w:sz w:val="30"/>
          <w:szCs w:val="30"/>
        </w:rPr>
        <w:t>.</w:t>
      </w:r>
      <w:r w:rsidRPr="00680080">
        <w:rPr>
          <w:rFonts w:ascii="Simplified Arabic" w:eastAsia="Times New Roman" w:hAnsi="Simplified Arabic" w:cs="Simplified Arabic"/>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tl/>
        </w:rPr>
      </w:pPr>
      <w:r w:rsidRPr="00680080">
        <w:rPr>
          <w:rFonts w:ascii="Simplified Arabic" w:eastAsia="Times New Roman" w:hAnsi="Simplified Arabic" w:cs="Simplified Arabic"/>
          <w:sz w:val="30"/>
          <w:szCs w:val="30"/>
          <w:rtl/>
        </w:rPr>
        <w:t xml:space="preserve">  </w:t>
      </w:r>
      <w:r w:rsidRPr="00680080">
        <w:rPr>
          <w:rFonts w:ascii="Simplified Arabic" w:eastAsia="Times New Roman" w:hAnsi="Simplified Arabic" w:cs="Simplified Arabic"/>
          <w:color w:val="000000"/>
          <w:sz w:val="30"/>
          <w:szCs w:val="30"/>
          <w:rtl/>
        </w:rPr>
        <w:t>وبذلك فإن صلب هذا النظام يقوم على التفاعل بين كفاءة قوى السوق</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والعدل في توزيع الثروات</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5"/>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r w:rsidRPr="00680080">
        <w:rPr>
          <w:rFonts w:ascii="Simplified Arabic" w:eastAsia="Times New Roman" w:hAnsi="Simplified Arabic" w:cs="Simplified Arabic"/>
          <w:color w:val="000000"/>
          <w:sz w:val="30"/>
          <w:szCs w:val="30"/>
          <w:vertAlign w:val="superscript"/>
          <w:rtl/>
        </w:rPr>
        <w:t xml:space="preserve"> </w:t>
      </w:r>
      <w:r w:rsidRPr="00680080">
        <w:rPr>
          <w:rFonts w:ascii="Simplified Arabic" w:eastAsia="Times New Roman" w:hAnsi="Simplified Arabic" w:cs="Simplified Arabic"/>
          <w:color w:val="000000"/>
          <w:sz w:val="30"/>
          <w:szCs w:val="30"/>
          <w:rtl/>
        </w:rPr>
        <w:t xml:space="preserve">تسود فيه </w:t>
      </w:r>
      <w:r w:rsidRPr="00680080">
        <w:rPr>
          <w:rFonts w:ascii="Simplified Arabic" w:eastAsia="Times New Roman" w:hAnsi="Simplified Arabic" w:cs="Simplified Arabic" w:hint="cs"/>
          <w:color w:val="000000"/>
          <w:sz w:val="30"/>
          <w:szCs w:val="30"/>
          <w:rtl/>
        </w:rPr>
        <w:t>ال</w:t>
      </w:r>
      <w:r w:rsidRPr="00680080">
        <w:rPr>
          <w:rFonts w:ascii="Simplified Arabic" w:eastAsia="Times New Roman" w:hAnsi="Simplified Arabic" w:cs="Simplified Arabic"/>
          <w:color w:val="000000"/>
          <w:sz w:val="30"/>
          <w:szCs w:val="30"/>
          <w:rtl/>
        </w:rPr>
        <w:t>قيم المجتمعية التي تؤكد على الشعب، وتثني على تجمعات الأعمال والمشروعات والمسؤوليات الجماعية للمهارات والعمل كفريق والولاء للمؤسسة، واستراتيجيات الصناعة والسياسات الصناعية الفعالة التي تزيد النمو</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وأقر القانون الأساسي الألماني أن الجمهورية الاتحادية الألمانية هي دولة اتحادية اجتماعية ديمقراطية، وذلك ضمن المادة 20 من هذا القانون، وأيضا يتضمن الحياد المشروط فيما يتعلق بالنظام الاقتصادي وضمان الملكية الأمر </w:t>
      </w:r>
      <w:r w:rsidRPr="00680080">
        <w:rPr>
          <w:rFonts w:ascii="Simplified Arabic" w:eastAsia="Times New Roman" w:hAnsi="Simplified Arabic" w:cs="Simplified Arabic"/>
          <w:color w:val="000000"/>
          <w:sz w:val="30"/>
          <w:szCs w:val="30"/>
          <w:rtl/>
        </w:rPr>
        <w:lastRenderedPageBreak/>
        <w:t xml:space="preserve">الذي يتطلب بالمقابل القيام بالواجبات، التي يجب </w:t>
      </w:r>
      <w:r w:rsidRPr="00680080">
        <w:rPr>
          <w:rFonts w:ascii="Simplified Arabic" w:eastAsia="Times New Roman" w:hAnsi="Simplified Arabic" w:cs="Simplified Arabic" w:hint="cs"/>
          <w:color w:val="000000"/>
          <w:sz w:val="30"/>
          <w:szCs w:val="30"/>
          <w:rtl/>
        </w:rPr>
        <w:t>أ</w:t>
      </w:r>
      <w:r w:rsidRPr="00680080">
        <w:rPr>
          <w:rFonts w:ascii="Simplified Arabic" w:eastAsia="Times New Roman" w:hAnsi="Simplified Arabic" w:cs="Simplified Arabic"/>
          <w:color w:val="000000"/>
          <w:sz w:val="30"/>
          <w:szCs w:val="30"/>
          <w:rtl/>
        </w:rPr>
        <w:t>ن تخدم المصلحة العامة، حيث أن أي إجراء تقوم به الدولة يجب أن يندرج تحت بند تحقيق المصلحة العامة</w:t>
      </w:r>
      <w:r w:rsidRPr="00680080">
        <w:rPr>
          <w:rFonts w:ascii="Simplified Arabic" w:eastAsia="Times New Roman" w:hAnsi="Simplified Arabic" w:cs="Simplified Arabic"/>
          <w:color w:val="000000"/>
          <w:sz w:val="30"/>
          <w:szCs w:val="30"/>
          <w:vertAlign w:val="superscript"/>
          <w:rtl/>
        </w:rPr>
        <w:t>(</w:t>
      </w:r>
      <w:r w:rsidRPr="00680080">
        <w:rPr>
          <w:rFonts w:ascii="Times New Roman" w:eastAsia="Times New Roman" w:hAnsi="Times New Roman" w:cs="Simplified Arabic"/>
          <w:sz w:val="30"/>
          <w:szCs w:val="30"/>
          <w:vertAlign w:val="superscript"/>
          <w:rtl/>
        </w:rPr>
        <w:footnoteReference w:id="26"/>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hint="cs"/>
          <w:color w:val="000000"/>
          <w:sz w:val="30"/>
          <w:szCs w:val="30"/>
          <w:rtl/>
        </w:rPr>
      </w:pPr>
      <w:r w:rsidRPr="00680080">
        <w:rPr>
          <w:rFonts w:ascii="Simplified Arabic" w:eastAsia="Times New Roman" w:hAnsi="Simplified Arabic" w:cs="Simplified Arabic"/>
          <w:color w:val="000000"/>
          <w:sz w:val="30"/>
          <w:szCs w:val="30"/>
          <w:rtl/>
        </w:rPr>
        <w:t xml:space="preserve">كما يملك بنك دويتشي </w:t>
      </w:r>
      <w:r w:rsidRPr="00680080">
        <w:rPr>
          <w:rFonts w:ascii="Times New Roman" w:eastAsia="Times New Roman" w:hAnsi="Times New Roman" w:cs="Times New Roman"/>
          <w:color w:val="000000"/>
          <w:sz w:val="30"/>
          <w:szCs w:val="30"/>
        </w:rPr>
        <w:t>Deutsche</w:t>
      </w:r>
      <w:r w:rsidRPr="00680080">
        <w:rPr>
          <w:rFonts w:ascii="Simplified Arabic" w:eastAsia="Times New Roman" w:hAnsi="Simplified Arabic" w:cs="Simplified Arabic"/>
          <w:color w:val="000000"/>
          <w:sz w:val="30"/>
          <w:szCs w:val="30"/>
          <w:rtl/>
        </w:rPr>
        <w:t xml:space="preserve"> 10% من أسهم 70 شركة، كما أن مديريه التنفيذيين أعضاء في 400 مجلس إدارة لشركات تجارية كبيرة، فضلا عن ملكياته خارج ألمانيا، وهذا ما يؤهل البنك للتدخل بقوة لحماية الشركات الألمانية من مضاربات المال ويحررها من طغيان أسواق المال</w:t>
      </w:r>
      <w:r w:rsidRPr="00680080">
        <w:rPr>
          <w:rFonts w:ascii="Simplified Arabic" w:eastAsia="Times New Roman" w:hAnsi="Simplified Arabic" w:cs="Simplified Arabic" w:hint="cs"/>
          <w:color w:val="000000"/>
          <w:sz w:val="30"/>
          <w:szCs w:val="30"/>
          <w:rtl/>
        </w:rPr>
        <w:t>،</w:t>
      </w:r>
      <w:r w:rsidRPr="00680080">
        <w:rPr>
          <w:rFonts w:ascii="Simplified Arabic" w:eastAsia="Times New Roman" w:hAnsi="Simplified Arabic" w:cs="Simplified Arabic"/>
          <w:color w:val="000000"/>
          <w:sz w:val="30"/>
          <w:szCs w:val="30"/>
          <w:rtl/>
        </w:rPr>
        <w:t xml:space="preserve"> ويساعدها في تخطيط استراتيجياتها وتوفير التمويل اللازم لتنفيذ الاستراتيجيات، لذا تنظر ألمانيا إلى نفسها بإعتبارها تملك اقتصاد السوق الاجتماعية وليس مجرد اقتصاد السوق، وان المشاركة في صناعة القرار مطلوبة من أجل توسيع قاعدة أصحاب المصلحة في الشركات علاوة على قاعدة الملاك الرأسماليين التقليديين لكي  تضم العمال</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7"/>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w:t>
      </w:r>
      <w:r w:rsidRPr="00680080">
        <w:rPr>
          <w:rFonts w:ascii="Simplified Arabic" w:eastAsia="Times New Roman" w:hAnsi="Simplified Arabic" w:cs="Simplified Arabic"/>
          <w:color w:val="000000"/>
          <w:sz w:val="30"/>
          <w:szCs w:val="30"/>
          <w:vertAlign w:val="superscript"/>
          <w:rtl/>
        </w:rPr>
        <w:t xml:space="preserve"> </w:t>
      </w:r>
    </w:p>
    <w:p w:rsidR="00680080" w:rsidRPr="00680080" w:rsidRDefault="00680080" w:rsidP="00680080">
      <w:pPr>
        <w:tabs>
          <w:tab w:val="right" w:pos="566"/>
        </w:tabs>
        <w:spacing w:before="120" w:after="0" w:line="276" w:lineRule="auto"/>
        <w:ind w:firstLine="566"/>
        <w:jc w:val="lowKashida"/>
        <w:rPr>
          <w:rFonts w:ascii="Simplified Arabic" w:eastAsia="Times New Roman" w:hAnsi="Simplified Arabic" w:cs="Simplified Arabic"/>
          <w:color w:val="000000"/>
          <w:sz w:val="30"/>
          <w:szCs w:val="30"/>
        </w:rPr>
      </w:pPr>
      <w:r w:rsidRPr="00680080">
        <w:rPr>
          <w:rFonts w:ascii="Simplified Arabic" w:eastAsia="Times New Roman" w:hAnsi="Simplified Arabic" w:cs="Simplified Arabic"/>
          <w:color w:val="000000"/>
          <w:sz w:val="30"/>
          <w:szCs w:val="30"/>
          <w:rtl/>
        </w:rPr>
        <w:t>وتملك الحكومات الألمانية ( المحلية والاتحادية) حصصا أكبر في عدد أكبر من الصناعات ( خطوط الطيران والسيارات والصلب والكيماويات والطاقة الكهربائية والنقل) ويعتقد أن على الدولة أن تضطلع بدور هام لضمان تمتع كل فرد بالمهارات اللازمة للمشاركة في السوق، فيمول نظام التدريب الألماني اجتماعيا، وتغدو سياسات الرفاه الاجتماعي باعتبارها جزءا ضروريا من هذا الاقتصاد</w:t>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vertAlign w:val="superscript"/>
          <w:rtl/>
        </w:rPr>
        <w:footnoteReference w:id="28"/>
      </w:r>
      <w:r w:rsidRPr="00680080">
        <w:rPr>
          <w:rFonts w:ascii="Simplified Arabic" w:eastAsia="Times New Roman" w:hAnsi="Simplified Arabic" w:cs="Simplified Arabic"/>
          <w:color w:val="000000"/>
          <w:sz w:val="30"/>
          <w:szCs w:val="30"/>
          <w:vertAlign w:val="superscript"/>
          <w:rtl/>
        </w:rPr>
        <w:t>)</w:t>
      </w:r>
      <w:r w:rsidRPr="00680080">
        <w:rPr>
          <w:rFonts w:ascii="Simplified Arabic" w:eastAsia="Times New Roman" w:hAnsi="Simplified Arabic" w:cs="Simplified Arabic"/>
          <w:color w:val="000000"/>
          <w:sz w:val="30"/>
          <w:szCs w:val="30"/>
          <w:rtl/>
        </w:rPr>
        <w:t xml:space="preserve">.  </w:t>
      </w:r>
    </w:p>
    <w:p w:rsidR="002509DF" w:rsidRPr="00680080" w:rsidRDefault="002509DF">
      <w:bookmarkStart w:id="0" w:name="_GoBack"/>
      <w:bookmarkEnd w:id="0"/>
    </w:p>
    <w:sectPr w:rsidR="002509DF" w:rsidRPr="00680080" w:rsidSect="003D1B87">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A53" w:rsidRDefault="00C62A53" w:rsidP="00680080">
      <w:pPr>
        <w:spacing w:after="0" w:line="240" w:lineRule="auto"/>
      </w:pPr>
      <w:r>
        <w:separator/>
      </w:r>
    </w:p>
  </w:endnote>
  <w:endnote w:type="continuationSeparator" w:id="0">
    <w:p w:rsidR="00C62A53" w:rsidRDefault="00C62A53" w:rsidP="0068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A53" w:rsidRDefault="00C62A53" w:rsidP="00680080">
      <w:pPr>
        <w:spacing w:after="0" w:line="240" w:lineRule="auto"/>
      </w:pPr>
      <w:r>
        <w:separator/>
      </w:r>
    </w:p>
  </w:footnote>
  <w:footnote w:type="continuationSeparator" w:id="0">
    <w:p w:rsidR="00C62A53" w:rsidRDefault="00C62A53" w:rsidP="00680080">
      <w:pPr>
        <w:spacing w:after="0" w:line="240" w:lineRule="auto"/>
      </w:pPr>
      <w:r>
        <w:continuationSeparator/>
      </w:r>
    </w:p>
  </w:footnote>
  <w:footnote w:id="1">
    <w:p w:rsidR="00680080" w:rsidRPr="008A4774" w:rsidRDefault="00680080" w:rsidP="00680080">
      <w:pPr>
        <w:autoSpaceDE w:val="0"/>
        <w:autoSpaceDN w:val="0"/>
        <w:adjustRightInd w:val="0"/>
        <w:spacing w:before="60" w:line="276" w:lineRule="auto"/>
        <w:jc w:val="lowKashida"/>
        <w:rPr>
          <w:rFonts w:ascii="Simplified Arabic" w:hAnsi="Simplified Arabic" w:cs="Simplified Arabic"/>
          <w:rtl/>
        </w:rPr>
      </w:pPr>
      <w:r w:rsidRPr="008A4774">
        <w:rPr>
          <w:rFonts w:ascii="Simplified Arabic" w:hAnsi="Simplified Arabic" w:cs="Simplified Arabic"/>
          <w:rtl/>
        </w:rPr>
        <w:t>(</w:t>
      </w:r>
      <w:r w:rsidRPr="008A4774">
        <w:rPr>
          <w:rStyle w:val="FootnoteReference"/>
          <w:rFonts w:ascii="Simplified Arabic" w:hAnsi="Simplified Arabic" w:cs="Simplified Arabic"/>
        </w:rPr>
        <w:footnoteRef/>
      </w:r>
      <w:r w:rsidRPr="008A4774">
        <w:rPr>
          <w:rFonts w:ascii="Simplified Arabic" w:hAnsi="Simplified Arabic" w:cs="Simplified Arabic"/>
          <w:rtl/>
        </w:rPr>
        <w:t xml:space="preserve">)- عبد الغفار رشاد، </w:t>
      </w:r>
      <w:r w:rsidRPr="008A4774">
        <w:rPr>
          <w:rFonts w:ascii="Simplified Arabic" w:hAnsi="Simplified Arabic" w:cs="Simplified Arabic"/>
          <w:b/>
          <w:bCs/>
          <w:rtl/>
        </w:rPr>
        <w:t xml:space="preserve">تجربة التحول الديمقراطي في اليابان ودروسها المستفادة للعالمين العربي </w:t>
      </w:r>
      <w:r w:rsidRPr="008A4774">
        <w:rPr>
          <w:rFonts w:ascii="Simplified Arabic" w:hAnsi="Simplified Arabic" w:cs="Simplified Arabic" w:hint="cs"/>
          <w:b/>
          <w:bCs/>
          <w:rtl/>
        </w:rPr>
        <w:t>والإسلامي</w:t>
      </w:r>
      <w:r w:rsidRPr="008A4774">
        <w:rPr>
          <w:rFonts w:ascii="Simplified Arabic" w:hAnsi="Simplified Arabic" w:cs="Simplified Arabic"/>
          <w:rtl/>
        </w:rPr>
        <w:t>،</w:t>
      </w:r>
      <w:r w:rsidRPr="008A4774">
        <w:rPr>
          <w:rFonts w:ascii="Simplified Arabic" w:hAnsi="Simplified Arabic" w:cs="Simplified Arabic" w:hint="cs"/>
          <w:rtl/>
        </w:rPr>
        <w:t>( ورقة بحث قدمت</w:t>
      </w:r>
      <w:r w:rsidRPr="008A4774">
        <w:rPr>
          <w:rFonts w:ascii="Simplified Arabic" w:hAnsi="Simplified Arabic" w:cs="Simplified Arabic"/>
          <w:rtl/>
        </w:rPr>
        <w:t xml:space="preserve"> إلى</w:t>
      </w:r>
      <w:r w:rsidRPr="008A4774">
        <w:rPr>
          <w:rFonts w:ascii="Simplified Arabic" w:hAnsi="Simplified Arabic" w:cs="Simplified Arabic" w:hint="cs"/>
          <w:rtl/>
        </w:rPr>
        <w:t>:"</w:t>
      </w:r>
      <w:r w:rsidRPr="008A4774">
        <w:rPr>
          <w:rFonts w:ascii="Simplified Arabic" w:hAnsi="Simplified Arabic" w:cs="Simplified Arabic"/>
          <w:rtl/>
        </w:rPr>
        <w:t xml:space="preserve"> مؤتمر الحوار الحضاري بين اليابان والعالم </w:t>
      </w:r>
      <w:r w:rsidRPr="008A4774">
        <w:rPr>
          <w:rFonts w:ascii="Simplified Arabic" w:hAnsi="Simplified Arabic" w:cs="Simplified Arabic" w:hint="cs"/>
          <w:rtl/>
        </w:rPr>
        <w:t>الإسلامي"</w:t>
      </w:r>
      <w:r w:rsidRPr="008A4774">
        <w:rPr>
          <w:rFonts w:ascii="Simplified Arabic" w:hAnsi="Simplified Arabic" w:cs="Simplified Arabic"/>
          <w:rtl/>
        </w:rPr>
        <w:t xml:space="preserve">، القاهرة: مركز الدراسات </w:t>
      </w:r>
      <w:r w:rsidRPr="008A4774">
        <w:rPr>
          <w:rFonts w:ascii="Simplified Arabic" w:hAnsi="Simplified Arabic" w:cs="Simplified Arabic" w:hint="cs"/>
          <w:rtl/>
        </w:rPr>
        <w:t>الأسيوية</w:t>
      </w:r>
      <w:r w:rsidRPr="008A4774">
        <w:rPr>
          <w:rFonts w:ascii="Simplified Arabic" w:hAnsi="Simplified Arabic" w:cs="Simplified Arabic"/>
          <w:rtl/>
        </w:rPr>
        <w:t>، كلية الاقتصاد والعلوم السياسية، جامعة القاهرة، ديسمبر2002</w:t>
      </w:r>
      <w:r w:rsidRPr="008A4774">
        <w:rPr>
          <w:rFonts w:ascii="Simplified Arabic" w:hAnsi="Simplified Arabic" w:cs="Simplified Arabic" w:hint="cs"/>
          <w:rtl/>
        </w:rPr>
        <w:t>)</w:t>
      </w:r>
      <w:r w:rsidRPr="008A4774">
        <w:rPr>
          <w:rFonts w:ascii="Simplified Arabic" w:hAnsi="Simplified Arabic" w:cs="Simplified Arabic"/>
          <w:rtl/>
        </w:rPr>
        <w:t>، ص.36</w:t>
      </w:r>
      <w:r w:rsidRPr="008A4774">
        <w:rPr>
          <w:rFonts w:ascii="Simplified Arabic" w:hAnsi="Simplified Arabic" w:cs="Simplified Arabic"/>
        </w:rPr>
        <w:t xml:space="preserve">. </w:t>
      </w:r>
    </w:p>
  </w:footnote>
  <w:footnote w:id="2">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)-عبد الرحيم خليل،</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صنع السياسة العامة في اليابان، بين النظريات والتطبيق</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مجلة دراسات مستقبلية</w:t>
      </w:r>
      <w:r w:rsidRPr="008A4774">
        <w:rPr>
          <w:rFonts w:ascii="Simplified Arabic" w:hAnsi="Simplified Arabic" w:cs="Simplified Arabic"/>
          <w:sz w:val="22"/>
          <w:szCs w:val="22"/>
          <w:rtl/>
        </w:rPr>
        <w:t>،</w:t>
      </w:r>
      <w:r w:rsidRPr="008A4774">
        <w:rPr>
          <w:rFonts w:ascii="Simplified Arabic" w:hAnsi="Simplified Arabic" w:cs="Simplified Arabic" w:hint="cs"/>
          <w:sz w:val="22"/>
          <w:szCs w:val="22"/>
          <w:rtl/>
        </w:rPr>
        <w:t>11</w:t>
      </w:r>
      <w:r w:rsidRPr="008A4774">
        <w:rPr>
          <w:rFonts w:ascii="Simplified Arabic" w:hAnsi="Simplified Arabic" w:cs="Simplified Arabic"/>
          <w:sz w:val="22"/>
          <w:szCs w:val="22"/>
          <w:rtl/>
        </w:rPr>
        <w:t>،</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جانفي، 2006</w:t>
      </w:r>
      <w:r w:rsidRPr="008A4774">
        <w:rPr>
          <w:rFonts w:ascii="Simplified Arabic" w:hAnsi="Simplified Arabic" w:cs="Simplified Arabic" w:hint="cs"/>
          <w:sz w:val="22"/>
          <w:szCs w:val="22"/>
          <w:rtl/>
        </w:rPr>
        <w:t>)</w:t>
      </w:r>
      <w:r>
        <w:rPr>
          <w:rFonts w:ascii="Simplified Arabic" w:hAnsi="Simplified Arabic" w:cs="Simplified Arabic" w:hint="cs"/>
          <w:sz w:val="22"/>
          <w:szCs w:val="22"/>
          <w:rtl/>
        </w:rPr>
        <w:t>:</w:t>
      </w:r>
      <w:r>
        <w:rPr>
          <w:rFonts w:ascii="Simplified Arabic" w:hAnsi="Simplified Arabic" w:cs="Simplified Arabic"/>
          <w:sz w:val="22"/>
          <w:szCs w:val="22"/>
        </w:rPr>
        <w:t xml:space="preserve"> </w:t>
      </w:r>
      <w:r w:rsidRPr="008A4774">
        <w:rPr>
          <w:rFonts w:ascii="Simplified Arabic" w:hAnsi="Simplified Arabic" w:cs="Simplified Arabic"/>
          <w:sz w:val="22"/>
          <w:szCs w:val="22"/>
          <w:rtl/>
        </w:rPr>
        <w:t>126.</w:t>
      </w:r>
      <w:r w:rsidRPr="008A4774">
        <w:rPr>
          <w:rFonts w:ascii="Simplified Arabic" w:hAnsi="Simplified Arabic" w:cs="Simplified Arabic"/>
          <w:sz w:val="22"/>
          <w:szCs w:val="22"/>
        </w:rPr>
        <w:t xml:space="preserve"> </w:t>
      </w:r>
    </w:p>
  </w:footnote>
  <w:footnote w:id="3">
    <w:p w:rsidR="00680080" w:rsidRPr="008A4774" w:rsidRDefault="00680080" w:rsidP="00680080">
      <w:pPr>
        <w:pStyle w:val="FootnoteText"/>
        <w:spacing w:before="60" w:line="276" w:lineRule="auto"/>
        <w:ind w:hanging="7"/>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)-أحمد بلبع</w:t>
      </w:r>
      <w:r w:rsidRPr="008A4774">
        <w:rPr>
          <w:rFonts w:ascii="Simplified Arabic" w:hAnsi="Simplified Arabic" w:cs="Simplified Arabic" w:hint="cs"/>
          <w:sz w:val="22"/>
          <w:szCs w:val="22"/>
          <w:rtl/>
        </w:rPr>
        <w:t>، مترجما</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الفجر الكاذب: أوهام الرأسمالية العالمية</w:t>
      </w:r>
      <w:r w:rsidRPr="008A4774">
        <w:rPr>
          <w:rFonts w:ascii="Simplified Arabic" w:hAnsi="Simplified Arabic" w:cs="Simplified Arabic"/>
          <w:sz w:val="22"/>
          <w:szCs w:val="22"/>
          <w:rtl/>
        </w:rPr>
        <w:t xml:space="preserve">، </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القاهرة: مكتبة الشروق، 2000</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ص</w:t>
      </w:r>
      <w:r w:rsidRPr="008A4774">
        <w:rPr>
          <w:rFonts w:ascii="Simplified Arabic" w:hAnsi="Simplified Arabic" w:cs="Simplified Arabic"/>
          <w:sz w:val="22"/>
          <w:szCs w:val="22"/>
        </w:rPr>
        <w:t>.</w:t>
      </w:r>
      <w:r w:rsidRPr="008A4774">
        <w:rPr>
          <w:rFonts w:ascii="Simplified Arabic" w:hAnsi="Simplified Arabic" w:cs="Simplified Arabic"/>
          <w:sz w:val="22"/>
          <w:szCs w:val="22"/>
          <w:rtl/>
        </w:rPr>
        <w:t xml:space="preserve">238. </w:t>
      </w:r>
    </w:p>
  </w:footnote>
  <w:footnote w:id="4">
    <w:p w:rsidR="00680080" w:rsidRPr="00DC2236" w:rsidRDefault="00680080" w:rsidP="00680080">
      <w:pPr>
        <w:pStyle w:val="FootnoteText"/>
        <w:rPr>
          <w:rFonts w:ascii="Simplified Arabic" w:hAnsi="Simplified Arabic" w:cs="Simplified Arabic" w:hint="cs"/>
          <w:sz w:val="22"/>
          <w:szCs w:val="22"/>
        </w:rPr>
      </w:pPr>
      <w:r w:rsidRPr="00DC2236">
        <w:rPr>
          <w:rFonts w:ascii="Simplified Arabic" w:hAnsi="Simplified Arabic" w:cs="Simplified Arabic" w:hint="cs"/>
          <w:sz w:val="22"/>
          <w:szCs w:val="22"/>
          <w:rtl/>
        </w:rPr>
        <w:t>(</w:t>
      </w:r>
      <w:r w:rsidRPr="00DC2236">
        <w:rPr>
          <w:rFonts w:ascii="Simplified Arabic" w:hAnsi="Simplified Arabic" w:cs="Simplified Arabic"/>
          <w:sz w:val="22"/>
          <w:szCs w:val="22"/>
        </w:rPr>
        <w:footnoteRef/>
      </w:r>
      <w:r w:rsidRPr="00DC2236">
        <w:rPr>
          <w:rFonts w:ascii="Simplified Arabic" w:hAnsi="Simplified Arabic" w:cs="Simplified Arabic" w:hint="cs"/>
          <w:sz w:val="22"/>
          <w:szCs w:val="22"/>
          <w:rtl/>
        </w:rPr>
        <w:t xml:space="preserve">)- </w:t>
      </w:r>
      <w:r w:rsidRPr="00DC2236">
        <w:rPr>
          <w:rFonts w:ascii="Simplified Arabic" w:hAnsi="Simplified Arabic" w:cs="Simplified Arabic" w:hint="cs"/>
          <w:b/>
          <w:bCs/>
          <w:sz w:val="22"/>
          <w:szCs w:val="22"/>
          <w:u w:val="single"/>
          <w:rtl/>
        </w:rPr>
        <w:t>المرجع نفسه</w:t>
      </w:r>
      <w:r w:rsidRPr="00DC2236">
        <w:rPr>
          <w:rFonts w:ascii="Simplified Arabic" w:hAnsi="Simplified Arabic" w:cs="Simplified Arabic" w:hint="cs"/>
          <w:sz w:val="22"/>
          <w:szCs w:val="22"/>
          <w:rtl/>
        </w:rPr>
        <w:t>، ص.</w:t>
      </w:r>
      <w:r w:rsidRPr="00DC2236">
        <w:rPr>
          <w:rFonts w:ascii="Simplified Arabic" w:hAnsi="Simplified Arabic" w:cs="Simplified Arabic"/>
          <w:sz w:val="22"/>
          <w:szCs w:val="22"/>
          <w:rtl/>
        </w:rPr>
        <w:t xml:space="preserve"> </w:t>
      </w:r>
      <w:r w:rsidRPr="00DC2236">
        <w:rPr>
          <w:rFonts w:ascii="Simplified Arabic" w:hAnsi="Simplified Arabic" w:cs="Simplified Arabic" w:hint="cs"/>
          <w:sz w:val="22"/>
          <w:szCs w:val="22"/>
          <w:rtl/>
        </w:rPr>
        <w:t>238.</w:t>
      </w:r>
    </w:p>
  </w:footnote>
  <w:footnote w:id="5">
    <w:p w:rsidR="00680080" w:rsidRPr="008A4774" w:rsidRDefault="00680080" w:rsidP="00680080">
      <w:pPr>
        <w:pStyle w:val="FootnoteText"/>
        <w:bidi w:val="0"/>
        <w:spacing w:before="60" w:line="276" w:lineRule="auto"/>
        <w:jc w:val="lowKashida"/>
        <w:rPr>
          <w:sz w:val="22"/>
          <w:szCs w:val="22"/>
          <w:rtl/>
        </w:rPr>
      </w:pPr>
      <w:r w:rsidRPr="008A4774">
        <w:rPr>
          <w:sz w:val="22"/>
          <w:szCs w:val="22"/>
        </w:rPr>
        <w:t>(</w:t>
      </w:r>
      <w:r w:rsidRPr="008A4774">
        <w:rPr>
          <w:rStyle w:val="FootnoteReference"/>
          <w:sz w:val="22"/>
          <w:szCs w:val="22"/>
        </w:rPr>
        <w:footnoteRef/>
      </w:r>
      <w:r w:rsidRPr="008A4774">
        <w:rPr>
          <w:sz w:val="22"/>
          <w:szCs w:val="22"/>
        </w:rPr>
        <w:t xml:space="preserve">)-  Kennedy Paul, </w:t>
      </w:r>
      <w:r w:rsidRPr="008A4774">
        <w:rPr>
          <w:b/>
          <w:bCs/>
          <w:sz w:val="22"/>
          <w:szCs w:val="22"/>
          <w:u w:val="single"/>
        </w:rPr>
        <w:t>The Rise and Falls of the Great Powers</w:t>
      </w:r>
      <w:r w:rsidRPr="008A4774">
        <w:rPr>
          <w:sz w:val="22"/>
          <w:szCs w:val="22"/>
        </w:rPr>
        <w:t xml:space="preserve">. </w:t>
      </w:r>
      <w:r w:rsidRPr="008A4774">
        <w:rPr>
          <w:rFonts w:hint="cs"/>
          <w:sz w:val="22"/>
          <w:szCs w:val="22"/>
          <w:rtl/>
        </w:rPr>
        <w:t>)</w:t>
      </w:r>
      <w:r w:rsidRPr="008A4774">
        <w:rPr>
          <w:sz w:val="22"/>
          <w:szCs w:val="22"/>
        </w:rPr>
        <w:t>London: Fontana, 1988</w:t>
      </w:r>
      <w:r w:rsidRPr="008A4774">
        <w:rPr>
          <w:rFonts w:hint="cs"/>
          <w:sz w:val="22"/>
          <w:szCs w:val="22"/>
          <w:rtl/>
        </w:rPr>
        <w:t>(</w:t>
      </w:r>
      <w:r w:rsidRPr="008A4774">
        <w:rPr>
          <w:sz w:val="22"/>
          <w:szCs w:val="22"/>
        </w:rPr>
        <w:t>,</w:t>
      </w:r>
      <w:r w:rsidRPr="008A4774">
        <w:rPr>
          <w:sz w:val="22"/>
          <w:szCs w:val="22"/>
          <w:lang w:val="fr-FR"/>
        </w:rPr>
        <w:t>P.</w:t>
      </w:r>
      <w:r w:rsidRPr="008A4774">
        <w:rPr>
          <w:sz w:val="22"/>
          <w:szCs w:val="22"/>
        </w:rPr>
        <w:t>266.</w:t>
      </w:r>
    </w:p>
  </w:footnote>
  <w:footnote w:id="6">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w:t>
      </w:r>
      <w:r>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 xml:space="preserve">أحمد بلبع،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 xml:space="preserve">مرجع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س</w:t>
      </w:r>
      <w:r w:rsidRPr="008A4774">
        <w:rPr>
          <w:rFonts w:ascii="Simplified Arabic" w:hAnsi="Simplified Arabic" w:cs="Simplified Arabic" w:hint="cs"/>
          <w:b/>
          <w:bCs/>
          <w:sz w:val="22"/>
          <w:szCs w:val="22"/>
          <w:u w:val="single"/>
          <w:rtl/>
        </w:rPr>
        <w:t>ا</w:t>
      </w:r>
      <w:r w:rsidRPr="008A4774">
        <w:rPr>
          <w:rFonts w:ascii="Simplified Arabic" w:hAnsi="Simplified Arabic" w:cs="Simplified Arabic"/>
          <w:b/>
          <w:bCs/>
          <w:sz w:val="22"/>
          <w:szCs w:val="22"/>
          <w:u w:val="single"/>
          <w:rtl/>
        </w:rPr>
        <w:t>بق</w:t>
      </w:r>
      <w:r w:rsidRPr="008A4774">
        <w:rPr>
          <w:rFonts w:ascii="Simplified Arabic" w:hAnsi="Simplified Arabic" w:cs="Simplified Arabic"/>
          <w:sz w:val="22"/>
          <w:szCs w:val="22"/>
          <w:rtl/>
        </w:rPr>
        <w:t>، ص</w:t>
      </w:r>
      <w:r w:rsidRPr="008A4774">
        <w:rPr>
          <w:rFonts w:ascii="Simplified Arabic" w:hAnsi="Simplified Arabic" w:cs="Simplified Arabic"/>
          <w:sz w:val="22"/>
          <w:szCs w:val="22"/>
        </w:rPr>
        <w:t>.</w:t>
      </w:r>
      <w:r w:rsidRPr="008A4774">
        <w:rPr>
          <w:rFonts w:ascii="Simplified Arabic" w:hAnsi="Simplified Arabic" w:cs="Simplified Arabic"/>
          <w:sz w:val="22"/>
          <w:szCs w:val="22"/>
          <w:rtl/>
        </w:rPr>
        <w:t>239.</w:t>
      </w:r>
    </w:p>
  </w:footnote>
  <w:footnote w:id="7">
    <w:p w:rsidR="00680080" w:rsidRPr="00566E9E" w:rsidRDefault="00680080" w:rsidP="00680080">
      <w:pPr>
        <w:pStyle w:val="FootnoteText"/>
        <w:jc w:val="lowKashida"/>
        <w:rPr>
          <w:rFonts w:ascii="Simplified Arabic" w:hAnsi="Simplified Arabic" w:cs="Simplified Arabic" w:hint="cs"/>
          <w:sz w:val="22"/>
          <w:szCs w:val="22"/>
        </w:rPr>
      </w:pPr>
      <w:r w:rsidRPr="00566E9E">
        <w:rPr>
          <w:rFonts w:ascii="Simplified Arabic" w:hAnsi="Simplified Arabic" w:cs="Simplified Arabic" w:hint="cs"/>
          <w:sz w:val="22"/>
          <w:szCs w:val="22"/>
          <w:rtl/>
        </w:rPr>
        <w:t>(</w:t>
      </w:r>
      <w:r w:rsidRPr="00566E9E">
        <w:rPr>
          <w:rFonts w:ascii="Simplified Arabic" w:hAnsi="Simplified Arabic" w:cs="Simplified Arabic"/>
          <w:sz w:val="22"/>
          <w:szCs w:val="22"/>
        </w:rPr>
        <w:footnoteRef/>
      </w:r>
      <w:r w:rsidRPr="00566E9E">
        <w:rPr>
          <w:rFonts w:ascii="Simplified Arabic" w:hAnsi="Simplified Arabic" w:cs="Simplified Arabic" w:hint="cs"/>
          <w:sz w:val="22"/>
          <w:szCs w:val="22"/>
          <w:rtl/>
        </w:rPr>
        <w:t xml:space="preserve">)- سلمان بونعمان، </w:t>
      </w:r>
      <w:r w:rsidRPr="00566E9E">
        <w:rPr>
          <w:rFonts w:ascii="Simplified Arabic" w:hAnsi="Simplified Arabic" w:cs="Simplified Arabic" w:hint="cs"/>
          <w:b/>
          <w:bCs/>
          <w:sz w:val="22"/>
          <w:szCs w:val="22"/>
          <w:u w:val="single"/>
          <w:rtl/>
        </w:rPr>
        <w:t>التجربة اليابانية: دراسة في أسس النموذج النهضوي</w:t>
      </w:r>
      <w:r w:rsidRPr="00566E9E">
        <w:rPr>
          <w:rFonts w:ascii="Simplified Arabic" w:hAnsi="Simplified Arabic" w:cs="Simplified Arabic" w:hint="cs"/>
          <w:sz w:val="22"/>
          <w:szCs w:val="22"/>
          <w:rtl/>
        </w:rPr>
        <w:t>.ط1.(بيروت: مركز نماء للبحوث والدراسات</w:t>
      </w:r>
      <w:r>
        <w:rPr>
          <w:rFonts w:ascii="Simplified Arabic" w:hAnsi="Simplified Arabic" w:cs="Simplified Arabic" w:hint="cs"/>
          <w:sz w:val="22"/>
          <w:szCs w:val="22"/>
          <w:rtl/>
        </w:rPr>
        <w:t xml:space="preserve"> </w:t>
      </w:r>
      <w:r w:rsidRPr="00566E9E">
        <w:rPr>
          <w:rFonts w:ascii="Simplified Arabic" w:hAnsi="Simplified Arabic" w:cs="Simplified Arabic" w:hint="cs"/>
          <w:sz w:val="22"/>
          <w:szCs w:val="22"/>
          <w:rtl/>
        </w:rPr>
        <w:t>2012) ص ص.38-39.</w:t>
      </w:r>
      <w:r w:rsidRPr="00566E9E">
        <w:rPr>
          <w:rFonts w:ascii="Simplified Arabic" w:hAnsi="Simplified Arabic" w:cs="Simplified Arabic"/>
          <w:sz w:val="22"/>
          <w:szCs w:val="22"/>
          <w:rtl/>
        </w:rPr>
        <w:t xml:space="preserve"> </w:t>
      </w:r>
    </w:p>
  </w:footnote>
  <w:footnote w:id="8">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Fonts w:ascii="Simplified Arabic" w:hAnsi="Simplified Arabic" w:cs="Simplified Arabic"/>
          <w:sz w:val="22"/>
          <w:szCs w:val="22"/>
          <w:rtl/>
        </w:rPr>
        <w:sym w:font="Symbol" w:char="F02A"/>
      </w:r>
      <w:r w:rsidRPr="008A4774">
        <w:rPr>
          <w:rFonts w:ascii="Simplified Arabic" w:hAnsi="Simplified Arabic" w:cs="Simplified Arabic"/>
          <w:sz w:val="22"/>
          <w:szCs w:val="22"/>
          <w:rtl/>
        </w:rPr>
        <w:t xml:space="preserve">)- يتردد اسم احتكار ازيباتسو كثيرا في جميع الوثائق الخاصة بالاقتصاد الياباني، والمصطلح هو اختصار لكلمات يابانية تشير إلى تكتلات اقتصادية ضخمة تضم شركات ومؤسسات كبيرة في جميع المجالات كسكك الحديد، والمناجم وصناعة السفن، وصناعة النسيج والبنوك وشركات التأمين وغيرها. وقد أعيد تسميته بعد الحرب باسم كثيبرتسو بينما فضلت الشركات الاحتكارية اليابانية القديمة على تقديم نفسها باسم زايبسو الجديد.  </w:t>
      </w:r>
    </w:p>
  </w:footnote>
  <w:footnote w:id="9">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xml:space="preserve">)- </w:t>
      </w:r>
      <w:r>
        <w:rPr>
          <w:rFonts w:ascii="Simplified Arabic" w:hAnsi="Simplified Arabic" w:cs="Simplified Arabic" w:hint="cs"/>
          <w:sz w:val="22"/>
          <w:szCs w:val="22"/>
          <w:rtl/>
        </w:rPr>
        <w:t xml:space="preserve">حسن لطيف كاظم الزبيدي، </w:t>
      </w:r>
      <w:r w:rsidRPr="00672962">
        <w:rPr>
          <w:rFonts w:ascii="Simplified Arabic" w:hAnsi="Simplified Arabic" w:cs="Simplified Arabic" w:hint="cs"/>
          <w:b/>
          <w:bCs/>
          <w:sz w:val="22"/>
          <w:szCs w:val="22"/>
          <w:u w:val="single"/>
          <w:rtl/>
        </w:rPr>
        <w:t>المرجع السابق</w:t>
      </w:r>
      <w:r>
        <w:rPr>
          <w:rFonts w:ascii="Simplified Arabic" w:hAnsi="Simplified Arabic" w:cs="Simplified Arabic" w:hint="cs"/>
          <w:sz w:val="22"/>
          <w:szCs w:val="22"/>
          <w:rtl/>
        </w:rPr>
        <w:t>، ص.73.</w:t>
      </w:r>
    </w:p>
  </w:footnote>
  <w:footnote w:id="10">
    <w:p w:rsidR="00680080" w:rsidRPr="008A4774" w:rsidRDefault="00680080" w:rsidP="00680080">
      <w:pPr>
        <w:pStyle w:val="FootnoteText"/>
        <w:spacing w:before="60" w:line="276" w:lineRule="auto"/>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w:t>
      </w:r>
      <w:r w:rsidRPr="008A4774">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 xml:space="preserve">أحمد بلبع،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 xml:space="preserve">مرجع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س</w:t>
      </w:r>
      <w:r w:rsidRPr="008A4774">
        <w:rPr>
          <w:rFonts w:ascii="Simplified Arabic" w:hAnsi="Simplified Arabic" w:cs="Simplified Arabic" w:hint="cs"/>
          <w:b/>
          <w:bCs/>
          <w:sz w:val="22"/>
          <w:szCs w:val="22"/>
          <w:u w:val="single"/>
          <w:rtl/>
        </w:rPr>
        <w:t>ا</w:t>
      </w:r>
      <w:r w:rsidRPr="008A4774">
        <w:rPr>
          <w:rFonts w:ascii="Simplified Arabic" w:hAnsi="Simplified Arabic" w:cs="Simplified Arabic"/>
          <w:b/>
          <w:bCs/>
          <w:sz w:val="22"/>
          <w:szCs w:val="22"/>
          <w:u w:val="single"/>
          <w:rtl/>
        </w:rPr>
        <w:t>بق</w:t>
      </w:r>
      <w:r w:rsidRPr="008A4774">
        <w:rPr>
          <w:rFonts w:ascii="Simplified Arabic" w:hAnsi="Simplified Arabic" w:cs="Simplified Arabic"/>
          <w:sz w:val="22"/>
          <w:szCs w:val="22"/>
          <w:rtl/>
        </w:rPr>
        <w:t>، ص</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238.</w:t>
      </w:r>
    </w:p>
  </w:footnote>
  <w:footnote w:id="11">
    <w:p w:rsidR="00680080" w:rsidRPr="008A4774" w:rsidRDefault="00680080" w:rsidP="00680080">
      <w:pPr>
        <w:pStyle w:val="FootnoteText"/>
        <w:bidi w:val="0"/>
        <w:spacing w:before="60" w:line="276" w:lineRule="auto"/>
        <w:jc w:val="lowKashida"/>
        <w:rPr>
          <w:color w:val="000000"/>
          <w:sz w:val="22"/>
          <w:szCs w:val="22"/>
          <w:rtl/>
        </w:rPr>
      </w:pPr>
      <w:r w:rsidRPr="008A4774">
        <w:rPr>
          <w:sz w:val="22"/>
          <w:szCs w:val="22"/>
        </w:rPr>
        <w:t>(</w:t>
      </w:r>
      <w:r w:rsidRPr="008A4774">
        <w:rPr>
          <w:rStyle w:val="FootnoteReference"/>
          <w:sz w:val="22"/>
          <w:szCs w:val="22"/>
        </w:rPr>
        <w:footnoteRef/>
      </w:r>
      <w:r w:rsidRPr="008A4774">
        <w:rPr>
          <w:sz w:val="22"/>
          <w:szCs w:val="22"/>
        </w:rPr>
        <w:t xml:space="preserve"> )- </w:t>
      </w:r>
      <w:r w:rsidRPr="008A4774">
        <w:rPr>
          <w:color w:val="000000"/>
          <w:sz w:val="22"/>
          <w:szCs w:val="22"/>
        </w:rPr>
        <w:t>Fallows, James</w:t>
      </w:r>
      <w:r w:rsidRPr="008A4774">
        <w:rPr>
          <w:color w:val="000000"/>
          <w:sz w:val="22"/>
          <w:szCs w:val="22"/>
          <w:u w:val="single"/>
        </w:rPr>
        <w:t xml:space="preserve">. </w:t>
      </w:r>
      <w:r w:rsidRPr="008A4774">
        <w:rPr>
          <w:b/>
          <w:bCs/>
          <w:color w:val="000000"/>
          <w:sz w:val="22"/>
          <w:szCs w:val="22"/>
          <w:u w:val="single"/>
        </w:rPr>
        <w:t>How the World Works</w:t>
      </w:r>
      <w:r w:rsidRPr="008A4774">
        <w:rPr>
          <w:color w:val="000000"/>
          <w:sz w:val="22"/>
          <w:szCs w:val="22"/>
        </w:rPr>
        <w:t xml:space="preserve">, The Atlantic </w:t>
      </w:r>
      <w:proofErr w:type="gramStart"/>
      <w:r w:rsidRPr="008A4774">
        <w:rPr>
          <w:color w:val="000000"/>
          <w:sz w:val="22"/>
          <w:szCs w:val="22"/>
        </w:rPr>
        <w:t>Monthly .December</w:t>
      </w:r>
      <w:proofErr w:type="gramEnd"/>
      <w:r w:rsidRPr="008A4774">
        <w:rPr>
          <w:color w:val="000000"/>
          <w:sz w:val="22"/>
          <w:szCs w:val="22"/>
        </w:rPr>
        <w:t xml:space="preserve"> 1993, P</w:t>
      </w:r>
      <w:r w:rsidRPr="008A4774">
        <w:rPr>
          <w:color w:val="000000"/>
          <w:sz w:val="22"/>
          <w:szCs w:val="22"/>
          <w:rtl/>
        </w:rPr>
        <w:t>.</w:t>
      </w:r>
      <w:r w:rsidRPr="008A4774">
        <w:rPr>
          <w:color w:val="000000"/>
          <w:sz w:val="22"/>
          <w:szCs w:val="22"/>
        </w:rPr>
        <w:t xml:space="preserve">64.  </w:t>
      </w:r>
    </w:p>
    <w:p w:rsidR="00680080" w:rsidRPr="008A4774" w:rsidRDefault="00680080" w:rsidP="00680080">
      <w:pPr>
        <w:pStyle w:val="FootnoteText"/>
        <w:bidi w:val="0"/>
        <w:spacing w:before="60" w:line="276" w:lineRule="auto"/>
        <w:jc w:val="lowKashida"/>
        <w:rPr>
          <w:sz w:val="22"/>
          <w:szCs w:val="22"/>
        </w:rPr>
      </w:pPr>
      <w:r w:rsidRPr="008A4774">
        <w:rPr>
          <w:color w:val="000000"/>
          <w:sz w:val="22"/>
          <w:szCs w:val="22"/>
        </w:rPr>
        <w:t xml:space="preserve"> </w:t>
      </w:r>
      <w:hyperlink r:id="rId1" w:history="1">
        <w:r w:rsidRPr="008A4774">
          <w:rPr>
            <w:rStyle w:val="Hyperlink"/>
            <w:color w:val="000000"/>
            <w:sz w:val="22"/>
            <w:szCs w:val="22"/>
          </w:rPr>
          <w:t>http://www.theatlantic.com/past/politics/foreign/jfhww.htm</w:t>
        </w:r>
      </w:hyperlink>
      <w:r w:rsidRPr="008A4774">
        <w:rPr>
          <w:sz w:val="22"/>
          <w:szCs w:val="22"/>
        </w:rPr>
        <w:t>.   29/06/2010</w:t>
      </w:r>
    </w:p>
  </w:footnote>
  <w:footnote w:id="12">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sz w:val="22"/>
          <w:szCs w:val="22"/>
          <w:rtl/>
        </w:rPr>
        <w:t>(</w:t>
      </w:r>
      <w:r w:rsidRPr="008A4774">
        <w:rPr>
          <w:rStyle w:val="FootnoteReference"/>
          <w:rFonts w:cs="Simplified Arabic"/>
          <w:sz w:val="22"/>
          <w:szCs w:val="22"/>
        </w:rPr>
        <w:footnoteRef/>
      </w:r>
      <w:r w:rsidRPr="008A4774">
        <w:rPr>
          <w:rFonts w:cs="Simplified Arabic"/>
          <w:sz w:val="22"/>
          <w:szCs w:val="22"/>
          <w:rtl/>
        </w:rPr>
        <w:t>)- ناصر يوسف،</w:t>
      </w:r>
      <w:r w:rsidRPr="008A4774">
        <w:rPr>
          <w:rFonts w:cs="Simplified Arabic" w:hint="cs"/>
          <w:sz w:val="22"/>
          <w:szCs w:val="22"/>
          <w:rtl/>
        </w:rPr>
        <w:t xml:space="preserve">" </w:t>
      </w:r>
      <w:r w:rsidRPr="008A4774">
        <w:rPr>
          <w:rFonts w:cs="Simplified Arabic"/>
          <w:sz w:val="22"/>
          <w:szCs w:val="22"/>
          <w:rtl/>
        </w:rPr>
        <w:t>مقولات التحديث المعاصرة في</w:t>
      </w:r>
      <w:r w:rsidRPr="008A4774">
        <w:rPr>
          <w:rFonts w:ascii="Simplified Arabic" w:hAnsi="Simplified Arabic" w:cs="Simplified Arabic"/>
          <w:sz w:val="22"/>
          <w:szCs w:val="22"/>
          <w:rtl/>
        </w:rPr>
        <w:t xml:space="preserve"> التجربة الإنمائية اليابانية المركبة:</w:t>
      </w:r>
      <w:r w:rsidRPr="008A4774">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الانجاز والاستمرار والدروس المستفادة إسلاميا</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مجلة البحوث والدراسات</w:t>
      </w:r>
      <w:r w:rsidRPr="008A4774">
        <w:rPr>
          <w:rFonts w:ascii="Simplified Arabic" w:hAnsi="Simplified Arabic" w:cs="Simplified Arabic"/>
          <w:sz w:val="22"/>
          <w:szCs w:val="22"/>
          <w:rtl/>
        </w:rPr>
        <w:t xml:space="preserve">، 53، </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صيف 2008</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131.</w:t>
      </w:r>
    </w:p>
  </w:footnote>
  <w:footnote w:id="13">
    <w:p w:rsidR="00680080" w:rsidRPr="008A4774" w:rsidRDefault="00680080" w:rsidP="00680080">
      <w:pPr>
        <w:pStyle w:val="FootnoteText"/>
        <w:bidi w:val="0"/>
        <w:spacing w:before="60" w:line="276" w:lineRule="auto"/>
        <w:jc w:val="lowKashida"/>
        <w:rPr>
          <w:sz w:val="22"/>
          <w:szCs w:val="22"/>
          <w:rtl/>
        </w:rPr>
      </w:pPr>
      <w:r w:rsidRPr="008A4774">
        <w:rPr>
          <w:sz w:val="22"/>
          <w:szCs w:val="22"/>
        </w:rPr>
        <w:t>(</w:t>
      </w:r>
      <w:r w:rsidRPr="008A4774">
        <w:rPr>
          <w:rStyle w:val="FootnoteReference"/>
          <w:sz w:val="22"/>
          <w:szCs w:val="22"/>
        </w:rPr>
        <w:footnoteRef/>
      </w:r>
      <w:r w:rsidRPr="008A4774">
        <w:rPr>
          <w:sz w:val="22"/>
          <w:szCs w:val="22"/>
        </w:rPr>
        <w:t xml:space="preserve">)- Yamamura Kozo and </w:t>
      </w:r>
      <w:proofErr w:type="spellStart"/>
      <w:r w:rsidRPr="008A4774">
        <w:rPr>
          <w:sz w:val="22"/>
          <w:szCs w:val="22"/>
        </w:rPr>
        <w:t>Yasuba</w:t>
      </w:r>
      <w:proofErr w:type="spellEnd"/>
      <w:r w:rsidRPr="008A4774">
        <w:rPr>
          <w:sz w:val="22"/>
          <w:szCs w:val="22"/>
        </w:rPr>
        <w:t xml:space="preserve">, </w:t>
      </w:r>
      <w:proofErr w:type="spellStart"/>
      <w:r w:rsidRPr="008A4774">
        <w:rPr>
          <w:sz w:val="22"/>
          <w:szCs w:val="22"/>
        </w:rPr>
        <w:t>Yasukichi</w:t>
      </w:r>
      <w:proofErr w:type="spellEnd"/>
      <w:r w:rsidRPr="008A4774">
        <w:rPr>
          <w:sz w:val="22"/>
          <w:szCs w:val="22"/>
        </w:rPr>
        <w:t>,</w:t>
      </w:r>
      <w:r w:rsidRPr="008A4774">
        <w:rPr>
          <w:rFonts w:hint="cs"/>
          <w:sz w:val="22"/>
          <w:szCs w:val="22"/>
          <w:rtl/>
        </w:rPr>
        <w:t xml:space="preserve"> </w:t>
      </w:r>
      <w:r w:rsidRPr="008A4774">
        <w:rPr>
          <w:b/>
          <w:bCs/>
          <w:sz w:val="22"/>
          <w:szCs w:val="22"/>
        </w:rPr>
        <w:t>T</w:t>
      </w:r>
      <w:r w:rsidRPr="008A4774">
        <w:rPr>
          <w:b/>
          <w:bCs/>
          <w:sz w:val="22"/>
          <w:szCs w:val="22"/>
          <w:u w:val="single"/>
        </w:rPr>
        <w:t>he Political Economy of Japan: The Domestic Transformation</w:t>
      </w:r>
      <w:r w:rsidRPr="008A4774">
        <w:rPr>
          <w:sz w:val="22"/>
          <w:szCs w:val="22"/>
        </w:rPr>
        <w:t xml:space="preserve">. (Stanford, </w:t>
      </w:r>
      <w:proofErr w:type="spellStart"/>
      <w:r w:rsidRPr="008A4774">
        <w:rPr>
          <w:sz w:val="22"/>
          <w:szCs w:val="22"/>
        </w:rPr>
        <w:t>Calif</w:t>
      </w:r>
      <w:proofErr w:type="spellEnd"/>
      <w:r w:rsidRPr="008A4774">
        <w:rPr>
          <w:sz w:val="22"/>
          <w:szCs w:val="22"/>
        </w:rPr>
        <w:t>: Stanford University Press, 1987</w:t>
      </w:r>
      <w:proofErr w:type="gramStart"/>
      <w:r w:rsidRPr="008A4774">
        <w:rPr>
          <w:sz w:val="22"/>
          <w:szCs w:val="22"/>
        </w:rPr>
        <w:t>),P.</w:t>
      </w:r>
      <w:proofErr w:type="gramEnd"/>
      <w:r w:rsidRPr="008A4774">
        <w:rPr>
          <w:sz w:val="22"/>
          <w:szCs w:val="22"/>
        </w:rPr>
        <w:t>138.</w:t>
      </w:r>
    </w:p>
  </w:footnote>
  <w:footnote w:id="14">
    <w:p w:rsidR="00680080" w:rsidRPr="008A4774" w:rsidRDefault="00680080" w:rsidP="00680080">
      <w:pPr>
        <w:pStyle w:val="FootnoteText"/>
        <w:bidi w:val="0"/>
        <w:spacing w:before="60" w:line="276" w:lineRule="auto"/>
        <w:ind w:hanging="6"/>
        <w:jc w:val="lowKashida"/>
        <w:rPr>
          <w:rFonts w:ascii="Simplified Arabic" w:hAnsi="Simplified Arabic" w:cs="Simplified Arabic"/>
          <w:sz w:val="22"/>
          <w:szCs w:val="22"/>
        </w:rPr>
      </w:pPr>
      <w:r w:rsidRPr="008A4774">
        <w:rPr>
          <w:sz w:val="22"/>
          <w:szCs w:val="22"/>
        </w:rPr>
        <w:t>(</w:t>
      </w:r>
      <w:r w:rsidRPr="008A4774">
        <w:rPr>
          <w:rStyle w:val="FootnoteReference"/>
          <w:sz w:val="22"/>
          <w:szCs w:val="22"/>
        </w:rPr>
        <w:footnoteRef/>
      </w:r>
      <w:r w:rsidRPr="008A4774">
        <w:rPr>
          <w:sz w:val="22"/>
          <w:szCs w:val="22"/>
        </w:rPr>
        <w:t>)- Craig Albert and</w:t>
      </w:r>
      <w:r w:rsidRPr="008A4774">
        <w:rPr>
          <w:sz w:val="22"/>
          <w:szCs w:val="22"/>
          <w:rtl/>
        </w:rPr>
        <w:t xml:space="preserve"> </w:t>
      </w:r>
      <w:proofErr w:type="spellStart"/>
      <w:r w:rsidRPr="008A4774">
        <w:rPr>
          <w:sz w:val="22"/>
          <w:szCs w:val="22"/>
        </w:rPr>
        <w:t>Others,</w:t>
      </w:r>
      <w:r w:rsidRPr="008A4774">
        <w:rPr>
          <w:b/>
          <w:bCs/>
          <w:sz w:val="22"/>
          <w:szCs w:val="22"/>
          <w:u w:val="single"/>
        </w:rPr>
        <w:t>The</w:t>
      </w:r>
      <w:proofErr w:type="spellEnd"/>
      <w:r w:rsidRPr="008A4774">
        <w:rPr>
          <w:b/>
          <w:bCs/>
          <w:sz w:val="22"/>
          <w:szCs w:val="22"/>
          <w:u w:val="single"/>
        </w:rPr>
        <w:t xml:space="preserve"> Heritage of World Civilizations</w:t>
      </w:r>
      <w:r w:rsidRPr="008A4774">
        <w:rPr>
          <w:sz w:val="22"/>
          <w:szCs w:val="22"/>
        </w:rPr>
        <w:t>.</w:t>
      </w:r>
      <w:r w:rsidRPr="008A4774">
        <w:rPr>
          <w:rFonts w:hint="cs"/>
          <w:sz w:val="22"/>
          <w:szCs w:val="22"/>
          <w:rtl/>
        </w:rPr>
        <w:t>)</w:t>
      </w:r>
      <w:r w:rsidRPr="008A4774">
        <w:rPr>
          <w:sz w:val="22"/>
          <w:szCs w:val="22"/>
        </w:rPr>
        <w:t>New York: Macmillan Publishing Company, 1986</w:t>
      </w:r>
      <w:r w:rsidRPr="008A4774">
        <w:rPr>
          <w:rFonts w:hint="cs"/>
          <w:sz w:val="22"/>
          <w:szCs w:val="22"/>
          <w:rtl/>
        </w:rPr>
        <w:t>(</w:t>
      </w:r>
      <w:r w:rsidRPr="008A4774">
        <w:rPr>
          <w:sz w:val="22"/>
          <w:szCs w:val="22"/>
        </w:rPr>
        <w:t>,PP</w:t>
      </w:r>
      <w:r w:rsidRPr="008A4774">
        <w:rPr>
          <w:rFonts w:hint="cs"/>
          <w:sz w:val="22"/>
          <w:szCs w:val="22"/>
          <w:rtl/>
        </w:rPr>
        <w:t>.</w:t>
      </w:r>
      <w:r w:rsidRPr="008A4774">
        <w:rPr>
          <w:sz w:val="22"/>
          <w:szCs w:val="22"/>
        </w:rPr>
        <w:t xml:space="preserve"> 1233-1234.</w:t>
      </w:r>
    </w:p>
  </w:footnote>
  <w:footnote w:id="15">
    <w:p w:rsidR="00680080" w:rsidRPr="008A4774" w:rsidRDefault="00680080" w:rsidP="00680080">
      <w:pPr>
        <w:pStyle w:val="FootnoteText"/>
        <w:spacing w:before="60" w:line="276" w:lineRule="auto"/>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w:t>
      </w:r>
      <w:r>
        <w:rPr>
          <w:rFonts w:ascii="Simplified Arabic" w:hAnsi="Simplified Arabic" w:cs="Simplified Arabic" w:hint="cs"/>
          <w:sz w:val="22"/>
          <w:szCs w:val="22"/>
          <w:rtl/>
        </w:rPr>
        <w:t xml:space="preserve">حسن لطيف كاظم الزبيدي، </w:t>
      </w:r>
      <w:r w:rsidRPr="00672962">
        <w:rPr>
          <w:rFonts w:ascii="Simplified Arabic" w:hAnsi="Simplified Arabic" w:cs="Simplified Arabic" w:hint="cs"/>
          <w:b/>
          <w:bCs/>
          <w:sz w:val="22"/>
          <w:szCs w:val="22"/>
          <w:u w:val="single"/>
          <w:rtl/>
        </w:rPr>
        <w:t>المرجع السابق</w:t>
      </w:r>
      <w:r>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ص</w:t>
      </w:r>
      <w:r w:rsidRPr="008A4774">
        <w:rPr>
          <w:rFonts w:ascii="Simplified Arabic" w:hAnsi="Simplified Arabic" w:cs="Simplified Arabic" w:hint="cs"/>
          <w:sz w:val="22"/>
          <w:szCs w:val="22"/>
          <w:rtl/>
        </w:rPr>
        <w:t>.</w:t>
      </w:r>
      <w:r>
        <w:rPr>
          <w:rFonts w:ascii="Simplified Arabic" w:hAnsi="Simplified Arabic" w:cs="Simplified Arabic" w:hint="cs"/>
          <w:sz w:val="22"/>
          <w:szCs w:val="22"/>
          <w:rtl/>
        </w:rPr>
        <w:t>74</w:t>
      </w:r>
      <w:r w:rsidRPr="008A4774">
        <w:rPr>
          <w:rFonts w:ascii="Simplified Arabic" w:hAnsi="Simplified Arabic" w:cs="Simplified Arabic"/>
          <w:sz w:val="22"/>
          <w:szCs w:val="22"/>
          <w:rtl/>
        </w:rPr>
        <w:t>.</w:t>
      </w:r>
      <w:r w:rsidRPr="008A4774">
        <w:rPr>
          <w:rFonts w:ascii="Simplified Arabic" w:hAnsi="Simplified Arabic" w:cs="Simplified Arabic"/>
          <w:sz w:val="22"/>
          <w:szCs w:val="22"/>
        </w:rPr>
        <w:t xml:space="preserve"> </w:t>
      </w:r>
    </w:p>
  </w:footnote>
  <w:footnote w:id="16">
    <w:p w:rsidR="00680080" w:rsidRPr="008A4774" w:rsidRDefault="00680080" w:rsidP="00680080">
      <w:pPr>
        <w:pStyle w:val="FootnoteText"/>
        <w:spacing w:before="60" w:line="276" w:lineRule="auto"/>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Fonts w:ascii="Simplified Arabic" w:hAnsi="Simplified Arabic" w:cs="Simplified Arabic"/>
          <w:sz w:val="22"/>
          <w:szCs w:val="22"/>
        </w:rPr>
        <w:footnoteRef/>
      </w:r>
      <w:r w:rsidRPr="008A4774">
        <w:rPr>
          <w:rFonts w:ascii="Simplified Arabic" w:hAnsi="Simplified Arabic" w:cs="Simplified Arabic"/>
          <w:sz w:val="22"/>
          <w:szCs w:val="22"/>
          <w:rtl/>
        </w:rPr>
        <w:t xml:space="preserve">)- </w:t>
      </w:r>
      <w:r w:rsidRPr="00261253">
        <w:rPr>
          <w:rFonts w:ascii="Simplified Arabic" w:hAnsi="Simplified Arabic" w:cs="Simplified Arabic" w:hint="cs"/>
          <w:b/>
          <w:bCs/>
          <w:sz w:val="22"/>
          <w:szCs w:val="22"/>
          <w:u w:val="single"/>
          <w:rtl/>
        </w:rPr>
        <w:t>المرجع نفسه</w:t>
      </w:r>
      <w:r>
        <w:rPr>
          <w:rFonts w:ascii="Simplified Arabic" w:hAnsi="Simplified Arabic" w:cs="Simplified Arabic" w:hint="cs"/>
          <w:sz w:val="22"/>
          <w:szCs w:val="22"/>
          <w:rtl/>
        </w:rPr>
        <w:t>، ص.75.</w:t>
      </w:r>
    </w:p>
  </w:footnote>
  <w:footnote w:id="17">
    <w:p w:rsidR="00680080" w:rsidRPr="008A4774" w:rsidRDefault="00680080" w:rsidP="00680080">
      <w:pPr>
        <w:pStyle w:val="FootnoteText"/>
        <w:spacing w:before="60" w:line="276" w:lineRule="auto"/>
        <w:rPr>
          <w:rFonts w:ascii="Simplified Arabic" w:hAnsi="Simplified Arabic" w:cs="Simplified Arabic"/>
          <w:sz w:val="22"/>
          <w:szCs w:val="22"/>
        </w:rPr>
      </w:pPr>
      <w:r w:rsidRPr="008A4774">
        <w:rPr>
          <w:rFonts w:ascii="Simplified Arabic" w:hAnsi="Simplified Arabic" w:cs="Simplified Arabic"/>
          <w:sz w:val="22"/>
          <w:szCs w:val="22"/>
          <w:rtl/>
        </w:rPr>
        <w:t>(</w:t>
      </w:r>
      <w:r w:rsidRPr="008A4774">
        <w:rPr>
          <w:rFonts w:ascii="Simplified Arabic" w:hAnsi="Simplified Arabic" w:cs="Simplified Arabic"/>
          <w:sz w:val="22"/>
          <w:szCs w:val="22"/>
        </w:rPr>
        <w:footnoteRef/>
      </w:r>
      <w:r w:rsidRPr="008A4774">
        <w:rPr>
          <w:rFonts w:ascii="Simplified Arabic" w:hAnsi="Simplified Arabic" w:cs="Simplified Arabic"/>
          <w:sz w:val="22"/>
          <w:szCs w:val="22"/>
          <w:rtl/>
        </w:rPr>
        <w:t>)-</w:t>
      </w:r>
      <w:r w:rsidRPr="00261253">
        <w:rPr>
          <w:rFonts w:ascii="Simplified Arabic" w:hAnsi="Simplified Arabic" w:cs="Simplified Arabic" w:hint="cs"/>
          <w:b/>
          <w:bCs/>
          <w:sz w:val="22"/>
          <w:szCs w:val="22"/>
          <w:u w:val="single"/>
          <w:rtl/>
        </w:rPr>
        <w:t>المرجع نفسه</w:t>
      </w:r>
      <w:r>
        <w:rPr>
          <w:rFonts w:ascii="Simplified Arabic" w:hAnsi="Simplified Arabic" w:cs="Simplified Arabic" w:hint="cs"/>
          <w:sz w:val="22"/>
          <w:szCs w:val="22"/>
          <w:rtl/>
        </w:rPr>
        <w:t>، ص.76.</w:t>
      </w:r>
    </w:p>
  </w:footnote>
  <w:footnote w:id="18">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نور</w:t>
      </w:r>
      <w:r w:rsidRPr="008A4774">
        <w:rPr>
          <w:rFonts w:ascii="Simplified Arabic" w:hAnsi="Simplified Arabic" w:cs="Simplified Arabic" w:hint="cs"/>
          <w:sz w:val="22"/>
          <w:szCs w:val="22"/>
          <w:rtl/>
        </w:rPr>
        <w:t xml:space="preserve"> </w:t>
      </w:r>
      <w:r w:rsidRPr="008A4774">
        <w:rPr>
          <w:rFonts w:ascii="Simplified Arabic" w:hAnsi="Simplified Arabic" w:cs="Simplified Arabic"/>
          <w:sz w:val="22"/>
          <w:szCs w:val="22"/>
          <w:rtl/>
        </w:rPr>
        <w:t>الدين هرمز وباسل سلامة،</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التجربة الألمانية في اقتصاد السوق الاجتماعي: الأسس والمبادئ النظرية</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w:t>
      </w:r>
      <w:r w:rsidRPr="008A4774">
        <w:rPr>
          <w:rFonts w:ascii="Simplified Arabic" w:hAnsi="Simplified Arabic" w:cs="Simplified Arabic"/>
          <w:b/>
          <w:bCs/>
          <w:sz w:val="22"/>
          <w:szCs w:val="22"/>
          <w:u w:val="single"/>
          <w:rtl/>
        </w:rPr>
        <w:t>مجلة جامعة تشرين، للعلوم القانونية والاقتصادية</w:t>
      </w:r>
      <w:r w:rsidRPr="008A4774">
        <w:rPr>
          <w:rFonts w:ascii="Simplified Arabic" w:hAnsi="Simplified Arabic" w:cs="Simplified Arabic"/>
          <w:sz w:val="22"/>
          <w:szCs w:val="22"/>
          <w:rtl/>
        </w:rPr>
        <w:t xml:space="preserve">، </w:t>
      </w:r>
      <w:r w:rsidRPr="008A4774">
        <w:rPr>
          <w:rFonts w:ascii="Simplified Arabic" w:hAnsi="Simplified Arabic" w:cs="Simplified Arabic" w:hint="cs"/>
          <w:sz w:val="22"/>
          <w:szCs w:val="22"/>
          <w:rtl/>
        </w:rPr>
        <w:t>م</w:t>
      </w:r>
      <w:r w:rsidRPr="008A4774">
        <w:rPr>
          <w:rFonts w:ascii="Simplified Arabic" w:hAnsi="Simplified Arabic" w:cs="Simplified Arabic"/>
          <w:sz w:val="22"/>
          <w:szCs w:val="22"/>
          <w:rtl/>
        </w:rPr>
        <w:t xml:space="preserve">33، 4، </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2011</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 xml:space="preserve"> 131.</w:t>
      </w:r>
      <w:r w:rsidRPr="008A4774">
        <w:rPr>
          <w:rFonts w:ascii="Simplified Arabic" w:hAnsi="Simplified Arabic" w:cs="Simplified Arabic"/>
          <w:sz w:val="22"/>
          <w:szCs w:val="22"/>
        </w:rPr>
        <w:t xml:space="preserve"> </w:t>
      </w:r>
    </w:p>
  </w:footnote>
  <w:footnote w:id="19">
    <w:p w:rsidR="00680080" w:rsidRPr="008A4774" w:rsidRDefault="00680080" w:rsidP="00680080">
      <w:pPr>
        <w:autoSpaceDE w:val="0"/>
        <w:autoSpaceDN w:val="0"/>
        <w:bidi w:val="0"/>
        <w:adjustRightInd w:val="0"/>
        <w:jc w:val="lowKashida"/>
        <w:rPr>
          <w:rtl/>
        </w:rPr>
      </w:pPr>
      <w:r w:rsidRPr="008A4774">
        <w:t>(</w:t>
      </w:r>
      <w:r w:rsidRPr="008A4774">
        <w:rPr>
          <w:rStyle w:val="FootnoteReference"/>
        </w:rPr>
        <w:footnoteRef/>
      </w:r>
      <w:r w:rsidRPr="008A4774">
        <w:t>)-</w:t>
      </w:r>
      <w:proofErr w:type="spellStart"/>
      <w:r w:rsidRPr="008A4774">
        <w:rPr>
          <w:lang w:eastAsia="fr-FR"/>
        </w:rPr>
        <w:t>Broyer</w:t>
      </w:r>
      <w:proofErr w:type="spellEnd"/>
      <w:r w:rsidRPr="008A4774">
        <w:rPr>
          <w:lang w:eastAsia="fr-FR"/>
        </w:rPr>
        <w:t xml:space="preserve"> Sylvain. </w:t>
      </w:r>
      <w:r w:rsidRPr="008A4774">
        <w:rPr>
          <w:b/>
          <w:bCs/>
          <w:u w:val="single"/>
          <w:lang w:eastAsia="fr-FR"/>
        </w:rPr>
        <w:t xml:space="preserve">The Social Market Economy: Birth of an Economic </w:t>
      </w:r>
      <w:proofErr w:type="gramStart"/>
      <w:r w:rsidRPr="008A4774">
        <w:rPr>
          <w:b/>
          <w:bCs/>
          <w:u w:val="single"/>
          <w:lang w:eastAsia="fr-FR"/>
        </w:rPr>
        <w:t>Style</w:t>
      </w:r>
      <w:r w:rsidRPr="008A4774">
        <w:rPr>
          <w:lang w:eastAsia="fr-FR"/>
        </w:rPr>
        <w:t>,(</w:t>
      </w:r>
      <w:proofErr w:type="gramEnd"/>
      <w:r w:rsidRPr="008A4774">
        <w:rPr>
          <w:lang w:eastAsia="fr-FR"/>
        </w:rPr>
        <w:t xml:space="preserve"> social science research center, Berlin, 1996), P.958.</w:t>
      </w:r>
    </w:p>
  </w:footnote>
  <w:footnote w:id="20">
    <w:p w:rsidR="00680080" w:rsidRPr="008A4774" w:rsidRDefault="00680080" w:rsidP="00680080">
      <w:pPr>
        <w:autoSpaceDE w:val="0"/>
        <w:autoSpaceDN w:val="0"/>
        <w:bidi w:val="0"/>
        <w:adjustRightInd w:val="0"/>
        <w:jc w:val="lowKashida"/>
        <w:rPr>
          <w:rtl/>
          <w:lang w:eastAsia="fr-FR"/>
        </w:rPr>
      </w:pPr>
      <w:r w:rsidRPr="008A4774">
        <w:t>(</w:t>
      </w:r>
      <w:r w:rsidRPr="008A4774">
        <w:rPr>
          <w:rStyle w:val="FootnoteReference"/>
        </w:rPr>
        <w:footnoteRef/>
      </w:r>
      <w:r w:rsidRPr="008A4774">
        <w:t xml:space="preserve"> )-</w:t>
      </w:r>
      <w:r w:rsidRPr="008A4774">
        <w:rPr>
          <w:lang w:eastAsia="fr-FR"/>
        </w:rPr>
        <w:t xml:space="preserve"> Pascha, Werner. </w:t>
      </w:r>
      <w:r w:rsidRPr="008A4774">
        <w:rPr>
          <w:b/>
          <w:bCs/>
          <w:lang w:eastAsia="fr-FR"/>
        </w:rPr>
        <w:t>On The Relevance of German Concept of "Social Market Economy" for Korea,</w:t>
      </w:r>
      <w:r w:rsidRPr="008A4774">
        <w:rPr>
          <w:lang w:eastAsia="fr-FR"/>
        </w:rPr>
        <w:t xml:space="preserve"> </w:t>
      </w:r>
      <w:r w:rsidRPr="00680080">
        <w:rPr>
          <w:lang w:eastAsia="fr-FR"/>
        </w:rPr>
        <w:t>(</w:t>
      </w:r>
      <w:r w:rsidRPr="008A4774">
        <w:rPr>
          <w:lang w:eastAsia="fr-FR"/>
        </w:rPr>
        <w:t xml:space="preserve">paper prepared for the 9th international conference of the academy of Korea studies on </w:t>
      </w:r>
      <w:proofErr w:type="gramStart"/>
      <w:r w:rsidRPr="008A4774">
        <w:rPr>
          <w:lang w:eastAsia="fr-FR"/>
        </w:rPr>
        <w:t xml:space="preserve">"100 </w:t>
      </w:r>
      <w:proofErr w:type="spellStart"/>
      <w:r w:rsidRPr="008A4774">
        <w:rPr>
          <w:lang w:eastAsia="fr-FR"/>
        </w:rPr>
        <w:t>year</w:t>
      </w:r>
      <w:proofErr w:type="gramEnd"/>
      <w:r w:rsidRPr="008A4774">
        <w:rPr>
          <w:lang w:eastAsia="fr-FR"/>
        </w:rPr>
        <w:t xml:space="preserve"> s</w:t>
      </w:r>
      <w:proofErr w:type="spellEnd"/>
      <w:r w:rsidRPr="008A4774">
        <w:rPr>
          <w:lang w:eastAsia="fr-FR"/>
        </w:rPr>
        <w:t xml:space="preserve"> of modernization in Korea: toward the next century</w:t>
      </w:r>
      <w:r w:rsidRPr="008A4774">
        <w:rPr>
          <w:rFonts w:hint="cs"/>
          <w:rtl/>
          <w:lang w:eastAsia="fr-FR"/>
        </w:rPr>
        <w:t>"</w:t>
      </w:r>
      <w:r w:rsidRPr="008A4774">
        <w:rPr>
          <w:lang w:eastAsia="fr-FR"/>
        </w:rPr>
        <w:t>, Seoul, June, 26 – 28, 1996), P.49.</w:t>
      </w:r>
    </w:p>
  </w:footnote>
  <w:footnote w:id="21">
    <w:p w:rsidR="00680080" w:rsidRPr="008A4774" w:rsidRDefault="00680080" w:rsidP="00680080">
      <w:pPr>
        <w:pStyle w:val="FootnoteText"/>
        <w:jc w:val="lowKashida"/>
        <w:rPr>
          <w:rFonts w:cs="Simplified Arabic" w:hint="cs"/>
          <w:sz w:val="22"/>
          <w:szCs w:val="22"/>
        </w:rPr>
      </w:pPr>
      <w:r w:rsidRPr="008A4774">
        <w:rPr>
          <w:rFonts w:cs="Simplified Arabic" w:hint="cs"/>
          <w:sz w:val="22"/>
          <w:szCs w:val="22"/>
          <w:rtl/>
        </w:rPr>
        <w:t>(</w:t>
      </w:r>
      <w:r w:rsidRPr="008A4774">
        <w:rPr>
          <w:rStyle w:val="FootnoteReference"/>
          <w:rFonts w:cs="Simplified Arabic"/>
          <w:sz w:val="22"/>
          <w:szCs w:val="22"/>
        </w:rPr>
        <w:footnoteRef/>
      </w:r>
      <w:r w:rsidRPr="008A4774">
        <w:rPr>
          <w:rFonts w:cs="Simplified Arabic" w:hint="cs"/>
          <w:sz w:val="22"/>
          <w:szCs w:val="22"/>
          <w:rtl/>
        </w:rPr>
        <w:t xml:space="preserve">)- نورالدين هرمز و باسل سلامة، </w:t>
      </w:r>
      <w:r w:rsidRPr="008A4774">
        <w:rPr>
          <w:rFonts w:cs="Simplified Arabic" w:hint="cs"/>
          <w:b/>
          <w:bCs/>
          <w:sz w:val="22"/>
          <w:szCs w:val="22"/>
          <w:u w:val="single"/>
          <w:rtl/>
        </w:rPr>
        <w:t>المرجع السابق</w:t>
      </w:r>
      <w:r w:rsidRPr="008A4774">
        <w:rPr>
          <w:rFonts w:cs="Simplified Arabic" w:hint="cs"/>
          <w:sz w:val="22"/>
          <w:szCs w:val="22"/>
          <w:rtl/>
        </w:rPr>
        <w:t>، ص</w:t>
      </w:r>
      <w:r w:rsidRPr="008A4774">
        <w:rPr>
          <w:rFonts w:cs="Simplified Arabic"/>
          <w:sz w:val="22"/>
          <w:szCs w:val="22"/>
        </w:rPr>
        <w:t>.</w:t>
      </w:r>
      <w:r w:rsidRPr="008A4774">
        <w:rPr>
          <w:rFonts w:cs="Simplified Arabic" w:hint="cs"/>
          <w:sz w:val="22"/>
          <w:szCs w:val="22"/>
          <w:rtl/>
        </w:rPr>
        <w:t>131.</w:t>
      </w:r>
      <w:r w:rsidRPr="008A4774">
        <w:rPr>
          <w:rFonts w:cs="Simplified Arabic"/>
          <w:sz w:val="22"/>
          <w:szCs w:val="22"/>
          <w:rtl/>
        </w:rPr>
        <w:t xml:space="preserve"> </w:t>
      </w:r>
    </w:p>
  </w:footnote>
  <w:footnote w:id="22">
    <w:p w:rsidR="00680080" w:rsidRPr="008A4774" w:rsidRDefault="00680080" w:rsidP="00680080">
      <w:pPr>
        <w:pStyle w:val="FootnoteText"/>
        <w:rPr>
          <w:rFonts w:hint="cs"/>
          <w:sz w:val="22"/>
          <w:szCs w:val="22"/>
        </w:rPr>
      </w:pPr>
      <w:r w:rsidRPr="008A4774">
        <w:rPr>
          <w:rFonts w:cs="Simplified Arabic" w:hint="cs"/>
          <w:sz w:val="22"/>
          <w:szCs w:val="22"/>
          <w:rtl/>
        </w:rPr>
        <w:t>(</w:t>
      </w:r>
      <w:r w:rsidRPr="008A4774">
        <w:rPr>
          <w:rStyle w:val="FootnoteReference"/>
          <w:rFonts w:cs="Simplified Arabic"/>
          <w:sz w:val="22"/>
          <w:szCs w:val="22"/>
        </w:rPr>
        <w:footnoteRef/>
      </w:r>
      <w:r w:rsidRPr="008A4774">
        <w:rPr>
          <w:rFonts w:cs="Simplified Arabic" w:hint="cs"/>
          <w:sz w:val="22"/>
          <w:szCs w:val="22"/>
          <w:rtl/>
        </w:rPr>
        <w:t xml:space="preserve">)- </w:t>
      </w:r>
      <w:r w:rsidRPr="008A4774">
        <w:rPr>
          <w:rFonts w:cs="Simplified Arabic" w:hint="cs"/>
          <w:b/>
          <w:bCs/>
          <w:sz w:val="22"/>
          <w:szCs w:val="22"/>
          <w:rtl/>
        </w:rPr>
        <w:t>نفس المرجع</w:t>
      </w:r>
      <w:r w:rsidRPr="008A4774">
        <w:rPr>
          <w:rFonts w:cs="Simplified Arabic" w:hint="cs"/>
          <w:sz w:val="22"/>
          <w:szCs w:val="22"/>
          <w:rtl/>
        </w:rPr>
        <w:t>، ص</w:t>
      </w:r>
      <w:r w:rsidRPr="008A4774">
        <w:rPr>
          <w:rFonts w:cs="Simplified Arabic"/>
          <w:sz w:val="22"/>
          <w:szCs w:val="22"/>
        </w:rPr>
        <w:t>.</w:t>
      </w:r>
      <w:r w:rsidRPr="008A4774">
        <w:rPr>
          <w:rFonts w:cs="Simplified Arabic" w:hint="cs"/>
          <w:sz w:val="22"/>
          <w:szCs w:val="22"/>
          <w:rtl/>
        </w:rPr>
        <w:t>132</w:t>
      </w:r>
      <w:r w:rsidRPr="008A4774">
        <w:rPr>
          <w:rFonts w:hint="cs"/>
          <w:sz w:val="22"/>
          <w:szCs w:val="22"/>
          <w:rtl/>
        </w:rPr>
        <w:t>.</w:t>
      </w:r>
      <w:r w:rsidRPr="008A4774">
        <w:rPr>
          <w:sz w:val="22"/>
          <w:szCs w:val="22"/>
          <w:rtl/>
        </w:rPr>
        <w:t xml:space="preserve"> </w:t>
      </w:r>
    </w:p>
  </w:footnote>
  <w:footnote w:id="23">
    <w:p w:rsidR="00680080" w:rsidRPr="008A4774" w:rsidRDefault="00680080" w:rsidP="00680080">
      <w:pPr>
        <w:autoSpaceDE w:val="0"/>
        <w:autoSpaceDN w:val="0"/>
        <w:bidi w:val="0"/>
        <w:adjustRightInd w:val="0"/>
        <w:spacing w:before="60" w:line="276" w:lineRule="auto"/>
        <w:jc w:val="lowKashida"/>
        <w:rPr>
          <w:rtl/>
        </w:rPr>
      </w:pPr>
      <w:r w:rsidRPr="008A4774">
        <w:t>(</w:t>
      </w:r>
      <w:r w:rsidRPr="008A4774">
        <w:rPr>
          <w:rStyle w:val="FootnoteReference"/>
        </w:rPr>
        <w:footnoteRef/>
      </w:r>
      <w:r w:rsidRPr="008A4774">
        <w:t xml:space="preserve"> )-</w:t>
      </w:r>
      <w:r w:rsidRPr="008A4774">
        <w:rPr>
          <w:lang w:eastAsia="fr-FR"/>
        </w:rPr>
        <w:t xml:space="preserve"> John. D. Klaus. </w:t>
      </w:r>
      <w:r w:rsidRPr="008A4774">
        <w:rPr>
          <w:b/>
          <w:bCs/>
          <w:u w:val="single"/>
          <w:lang w:eastAsia="fr-FR"/>
        </w:rPr>
        <w:t>The German Social Market Economy–(Style) A Model for The European Union</w:t>
      </w:r>
      <w:r w:rsidRPr="008A4774">
        <w:rPr>
          <w:lang w:eastAsia="fr-FR"/>
        </w:rPr>
        <w:t>, (Chemnitz technical university Germany, 2006), P.1212.</w:t>
      </w:r>
    </w:p>
  </w:footnote>
  <w:footnote w:id="24">
    <w:p w:rsidR="00680080" w:rsidRPr="008A4774" w:rsidRDefault="00680080" w:rsidP="00680080">
      <w:pPr>
        <w:autoSpaceDE w:val="0"/>
        <w:autoSpaceDN w:val="0"/>
        <w:bidi w:val="0"/>
        <w:adjustRightInd w:val="0"/>
        <w:spacing w:before="60" w:line="276" w:lineRule="auto"/>
        <w:rPr>
          <w:lang w:val="fr-FR"/>
        </w:rPr>
      </w:pPr>
      <w:r w:rsidRPr="008A4774">
        <w:rPr>
          <w:lang w:val="fr-FR"/>
        </w:rPr>
        <w:t>(</w:t>
      </w:r>
      <w:r w:rsidRPr="008A4774">
        <w:rPr>
          <w:rStyle w:val="FootnoteReference"/>
        </w:rPr>
        <w:footnoteRef/>
      </w:r>
      <w:r w:rsidRPr="008A4774">
        <w:rPr>
          <w:lang w:val="fr-FR"/>
        </w:rPr>
        <w:t xml:space="preserve">)- </w:t>
      </w:r>
      <w:r w:rsidRPr="008A4774">
        <w:rPr>
          <w:lang w:val="fr-FR" w:eastAsia="fr-FR"/>
        </w:rPr>
        <w:t>Cécile Barbier,</w:t>
      </w:r>
      <w:r w:rsidRPr="008A4774">
        <w:rPr>
          <w:lang w:val="fr-FR"/>
        </w:rPr>
        <w:t xml:space="preserve"> </w:t>
      </w:r>
      <w:proofErr w:type="spellStart"/>
      <w:r w:rsidRPr="008A4774">
        <w:rPr>
          <w:b/>
          <w:bCs/>
          <w:lang w:val="fr-FR"/>
        </w:rPr>
        <w:t>Ordolibéralisme</w:t>
      </w:r>
      <w:proofErr w:type="spellEnd"/>
      <w:r w:rsidRPr="008A4774">
        <w:rPr>
          <w:b/>
          <w:bCs/>
          <w:lang w:val="fr-FR"/>
        </w:rPr>
        <w:t xml:space="preserve"> et économie Sociale de Marché : la Voie Allemande de l’Europe</w:t>
      </w:r>
      <w:r w:rsidRPr="008A4774">
        <w:rPr>
          <w:lang w:val="fr-FR"/>
        </w:rPr>
        <w:t xml:space="preserve"> ?</w:t>
      </w:r>
      <w:r w:rsidRPr="008A4774">
        <w:rPr>
          <w:lang w:val="fr-FR" w:eastAsia="fr-FR"/>
        </w:rPr>
        <w:t xml:space="preserve"> </w:t>
      </w:r>
      <w:r w:rsidRPr="008A4774">
        <w:rPr>
          <w:lang w:val="fr-FR"/>
        </w:rPr>
        <w:t xml:space="preserve">OSE Opinion </w:t>
      </w:r>
      <w:proofErr w:type="gramStart"/>
      <w:r w:rsidRPr="008A4774">
        <w:rPr>
          <w:lang w:val="fr-FR"/>
        </w:rPr>
        <w:t>Paper ,</w:t>
      </w:r>
      <w:proofErr w:type="gramEnd"/>
      <w:r w:rsidRPr="008A4774">
        <w:rPr>
          <w:lang w:val="fr-FR"/>
        </w:rPr>
        <w:t xml:space="preserve"> 10 ,</w:t>
      </w:r>
      <w:r w:rsidRPr="008A4774">
        <w:rPr>
          <w:rFonts w:hint="cs"/>
          <w:rtl/>
          <w:lang w:val="fr-FR"/>
        </w:rPr>
        <w:t>)</w:t>
      </w:r>
      <w:r w:rsidRPr="008A4774">
        <w:rPr>
          <w:lang w:val="fr-FR"/>
        </w:rPr>
        <w:t xml:space="preserve"> Juillet 201</w:t>
      </w:r>
      <w:r w:rsidRPr="008A4774">
        <w:rPr>
          <w:rFonts w:hint="cs"/>
          <w:rtl/>
          <w:lang w:val="fr-FR"/>
        </w:rPr>
        <w:t>(2 </w:t>
      </w:r>
      <w:r w:rsidRPr="008A4774">
        <w:rPr>
          <w:lang w:val="fr-FR"/>
        </w:rPr>
        <w:t>: 6.</w:t>
      </w:r>
    </w:p>
  </w:footnote>
  <w:footnote w:id="25">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xml:space="preserve">)- ثناء فؤاد عبد الله، </w:t>
      </w:r>
      <w:r w:rsidRPr="008A4774">
        <w:rPr>
          <w:rFonts w:ascii="Simplified Arabic" w:hAnsi="Simplified Arabic" w:cs="Simplified Arabic" w:hint="cs"/>
          <w:sz w:val="22"/>
          <w:szCs w:val="22"/>
          <w:rtl/>
        </w:rPr>
        <w:t>آليات</w:t>
      </w:r>
      <w:r w:rsidRPr="008A4774">
        <w:rPr>
          <w:rFonts w:ascii="Simplified Arabic" w:hAnsi="Simplified Arabic" w:cs="Simplified Arabic"/>
          <w:sz w:val="22"/>
          <w:szCs w:val="22"/>
          <w:rtl/>
        </w:rPr>
        <w:t xml:space="preserve"> التغير الديمقراطي في الوطن العربي،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 xml:space="preserve">مرجع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س</w:t>
      </w:r>
      <w:r w:rsidRPr="008A4774">
        <w:rPr>
          <w:rFonts w:ascii="Simplified Arabic" w:hAnsi="Simplified Arabic" w:cs="Simplified Arabic" w:hint="cs"/>
          <w:b/>
          <w:bCs/>
          <w:sz w:val="22"/>
          <w:szCs w:val="22"/>
          <w:u w:val="single"/>
          <w:rtl/>
        </w:rPr>
        <w:t>ا</w:t>
      </w:r>
      <w:r w:rsidRPr="008A4774">
        <w:rPr>
          <w:rFonts w:ascii="Simplified Arabic" w:hAnsi="Simplified Arabic" w:cs="Simplified Arabic"/>
          <w:b/>
          <w:bCs/>
          <w:sz w:val="22"/>
          <w:szCs w:val="22"/>
          <w:u w:val="single"/>
          <w:rtl/>
        </w:rPr>
        <w:t>بق</w:t>
      </w:r>
      <w:r w:rsidRPr="008A4774">
        <w:rPr>
          <w:rFonts w:ascii="Simplified Arabic" w:hAnsi="Simplified Arabic" w:cs="Simplified Arabic"/>
          <w:sz w:val="22"/>
          <w:szCs w:val="22"/>
          <w:rtl/>
        </w:rPr>
        <w:t>، ص</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266.</w:t>
      </w:r>
    </w:p>
  </w:footnote>
  <w:footnote w:id="26">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xml:space="preserve">)- حسن لطيف كاظم الزبيدي، الدولة والتنمية في الوطن العربي،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 xml:space="preserve">مرجع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س</w:t>
      </w:r>
      <w:r w:rsidRPr="008A4774">
        <w:rPr>
          <w:rFonts w:ascii="Simplified Arabic" w:hAnsi="Simplified Arabic" w:cs="Simplified Arabic" w:hint="cs"/>
          <w:b/>
          <w:bCs/>
          <w:sz w:val="22"/>
          <w:szCs w:val="22"/>
          <w:u w:val="single"/>
          <w:rtl/>
        </w:rPr>
        <w:t>ا</w:t>
      </w:r>
      <w:r w:rsidRPr="008A4774">
        <w:rPr>
          <w:rFonts w:ascii="Simplified Arabic" w:hAnsi="Simplified Arabic" w:cs="Simplified Arabic"/>
          <w:b/>
          <w:bCs/>
          <w:sz w:val="22"/>
          <w:szCs w:val="22"/>
          <w:u w:val="single"/>
          <w:rtl/>
        </w:rPr>
        <w:t>بق</w:t>
      </w:r>
      <w:r w:rsidRPr="008A4774">
        <w:rPr>
          <w:rFonts w:ascii="Simplified Arabic" w:hAnsi="Simplified Arabic" w:cs="Simplified Arabic"/>
          <w:sz w:val="22"/>
          <w:szCs w:val="22"/>
          <w:rtl/>
        </w:rPr>
        <w:t>، ص</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77.</w:t>
      </w:r>
    </w:p>
  </w:footnote>
  <w:footnote w:id="27">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 xml:space="preserve">)- </w:t>
      </w:r>
      <w:r w:rsidRPr="008A4774">
        <w:rPr>
          <w:rFonts w:ascii="Simplified Arabic" w:hAnsi="Simplified Arabic" w:cs="Simplified Arabic"/>
          <w:sz w:val="22"/>
          <w:szCs w:val="22"/>
        </w:rPr>
        <w:t xml:space="preserve"> </w:t>
      </w:r>
      <w:r w:rsidRPr="008A4774">
        <w:rPr>
          <w:rFonts w:ascii="Simplified Arabic" w:hAnsi="Simplified Arabic" w:cs="Simplified Arabic"/>
          <w:sz w:val="22"/>
          <w:szCs w:val="22"/>
          <w:rtl/>
        </w:rPr>
        <w:t>نور</w:t>
      </w:r>
      <w:r w:rsidRPr="008A4774">
        <w:rPr>
          <w:rFonts w:ascii="Simplified Arabic" w:hAnsi="Simplified Arabic" w:cs="Simplified Arabic"/>
          <w:sz w:val="22"/>
          <w:szCs w:val="22"/>
        </w:rPr>
        <w:t xml:space="preserve"> </w:t>
      </w:r>
      <w:r w:rsidRPr="008A4774">
        <w:rPr>
          <w:rFonts w:ascii="Simplified Arabic" w:hAnsi="Simplified Arabic" w:cs="Simplified Arabic"/>
          <w:sz w:val="22"/>
          <w:szCs w:val="22"/>
          <w:rtl/>
        </w:rPr>
        <w:t>الدين هرمز وباسل سلامة</w:t>
      </w:r>
      <w:r w:rsidRPr="008A4774">
        <w:rPr>
          <w:rFonts w:ascii="Simplified Arabic" w:hAnsi="Simplified Arabic" w:cs="Simplified Arabic"/>
          <w:b/>
          <w:bCs/>
          <w:sz w:val="22"/>
          <w:szCs w:val="22"/>
          <w:rtl/>
        </w:rPr>
        <w:t xml:space="preserve">،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 xml:space="preserve">مرجع </w:t>
      </w:r>
      <w:r w:rsidRPr="008A4774">
        <w:rPr>
          <w:rFonts w:ascii="Simplified Arabic" w:hAnsi="Simplified Arabic" w:cs="Simplified Arabic" w:hint="cs"/>
          <w:b/>
          <w:bCs/>
          <w:sz w:val="22"/>
          <w:szCs w:val="22"/>
          <w:u w:val="single"/>
          <w:rtl/>
        </w:rPr>
        <w:t>ال</w:t>
      </w:r>
      <w:r w:rsidRPr="008A4774">
        <w:rPr>
          <w:rFonts w:ascii="Simplified Arabic" w:hAnsi="Simplified Arabic" w:cs="Simplified Arabic"/>
          <w:b/>
          <w:bCs/>
          <w:sz w:val="22"/>
          <w:szCs w:val="22"/>
          <w:u w:val="single"/>
          <w:rtl/>
        </w:rPr>
        <w:t>س</w:t>
      </w:r>
      <w:r w:rsidRPr="008A4774">
        <w:rPr>
          <w:rFonts w:ascii="Simplified Arabic" w:hAnsi="Simplified Arabic" w:cs="Simplified Arabic" w:hint="cs"/>
          <w:b/>
          <w:bCs/>
          <w:sz w:val="22"/>
          <w:szCs w:val="22"/>
          <w:u w:val="single"/>
          <w:rtl/>
        </w:rPr>
        <w:t>ا</w:t>
      </w:r>
      <w:r w:rsidRPr="008A4774">
        <w:rPr>
          <w:rFonts w:ascii="Simplified Arabic" w:hAnsi="Simplified Arabic" w:cs="Simplified Arabic"/>
          <w:b/>
          <w:bCs/>
          <w:sz w:val="22"/>
          <w:szCs w:val="22"/>
          <w:u w:val="single"/>
          <w:rtl/>
        </w:rPr>
        <w:t>بق</w:t>
      </w:r>
      <w:r w:rsidRPr="008A4774">
        <w:rPr>
          <w:rFonts w:ascii="Simplified Arabic" w:hAnsi="Simplified Arabic" w:cs="Simplified Arabic"/>
          <w:sz w:val="22"/>
          <w:szCs w:val="22"/>
          <w:rtl/>
        </w:rPr>
        <w:t>، ص</w:t>
      </w:r>
      <w:r w:rsidRPr="008A4774">
        <w:rPr>
          <w:rFonts w:ascii="Simplified Arabic" w:hAnsi="Simplified Arabic" w:cs="Simplified Arabic" w:hint="cs"/>
          <w:sz w:val="22"/>
          <w:szCs w:val="22"/>
          <w:rtl/>
        </w:rPr>
        <w:t>.</w:t>
      </w:r>
      <w:r w:rsidRPr="008A4774">
        <w:rPr>
          <w:rFonts w:ascii="Simplified Arabic" w:hAnsi="Simplified Arabic" w:cs="Simplified Arabic"/>
          <w:sz w:val="22"/>
          <w:szCs w:val="22"/>
          <w:rtl/>
        </w:rPr>
        <w:t>137</w:t>
      </w:r>
      <w:r w:rsidRPr="008A4774">
        <w:rPr>
          <w:rFonts w:ascii="Simplified Arabic" w:hAnsi="Simplified Arabic" w:cs="Simplified Arabic"/>
          <w:sz w:val="22"/>
          <w:szCs w:val="22"/>
        </w:rPr>
        <w:t>.</w:t>
      </w:r>
    </w:p>
  </w:footnote>
  <w:footnote w:id="28">
    <w:p w:rsidR="00680080" w:rsidRPr="008A4774" w:rsidRDefault="00680080" w:rsidP="00680080">
      <w:pPr>
        <w:pStyle w:val="FootnoteText"/>
        <w:spacing w:before="60" w:line="276" w:lineRule="auto"/>
        <w:jc w:val="lowKashida"/>
        <w:rPr>
          <w:rFonts w:ascii="Simplified Arabic" w:hAnsi="Simplified Arabic" w:cs="Simplified Arabic"/>
          <w:sz w:val="22"/>
          <w:szCs w:val="22"/>
          <w:rtl/>
        </w:rPr>
      </w:pPr>
      <w:r w:rsidRPr="008A4774">
        <w:rPr>
          <w:rFonts w:ascii="Simplified Arabic" w:hAnsi="Simplified Arabic" w:cs="Simplified Arabic"/>
          <w:sz w:val="22"/>
          <w:szCs w:val="22"/>
          <w:rtl/>
        </w:rPr>
        <w:t>(</w:t>
      </w:r>
      <w:r w:rsidRPr="008A4774">
        <w:rPr>
          <w:rStyle w:val="FootnoteReference"/>
          <w:rFonts w:ascii="Simplified Arabic" w:hAnsi="Simplified Arabic" w:cs="Simplified Arabic"/>
          <w:sz w:val="22"/>
          <w:szCs w:val="22"/>
        </w:rPr>
        <w:footnoteRef/>
      </w:r>
      <w:r w:rsidRPr="008A4774">
        <w:rPr>
          <w:rFonts w:ascii="Simplified Arabic" w:hAnsi="Simplified Arabic" w:cs="Simplified Arabic"/>
          <w:sz w:val="22"/>
          <w:szCs w:val="22"/>
          <w:rtl/>
        </w:rPr>
        <w:t>)-</w:t>
      </w:r>
      <w:r>
        <w:rPr>
          <w:rFonts w:ascii="Simplified Arabic" w:hAnsi="Simplified Arabic" w:cs="Simplified Arabic" w:hint="cs"/>
          <w:sz w:val="22"/>
          <w:szCs w:val="22"/>
          <w:rtl/>
        </w:rPr>
        <w:t xml:space="preserve"> </w:t>
      </w:r>
      <w:r w:rsidRPr="008A4774">
        <w:rPr>
          <w:rFonts w:ascii="Simplified Arabic" w:hAnsi="Simplified Arabic" w:cs="Simplified Arabic"/>
          <w:b/>
          <w:bCs/>
          <w:sz w:val="22"/>
          <w:szCs w:val="22"/>
          <w:rtl/>
        </w:rPr>
        <w:t>المرجع نفس</w:t>
      </w:r>
      <w:r w:rsidRPr="008A4774">
        <w:rPr>
          <w:rFonts w:ascii="Simplified Arabic" w:hAnsi="Simplified Arabic" w:cs="Simplified Arabic" w:hint="cs"/>
          <w:b/>
          <w:bCs/>
          <w:sz w:val="22"/>
          <w:szCs w:val="22"/>
          <w:rtl/>
        </w:rPr>
        <w:t>ه</w:t>
      </w:r>
      <w:r w:rsidRPr="008A4774">
        <w:rPr>
          <w:rFonts w:ascii="Simplified Arabic" w:hAnsi="Simplified Arabic" w:cs="Simplified Arabic"/>
          <w:sz w:val="22"/>
          <w:szCs w:val="22"/>
          <w:rtl/>
        </w:rPr>
        <w:t>، ص</w:t>
      </w:r>
      <w:r>
        <w:rPr>
          <w:rFonts w:ascii="Simplified Arabic" w:hAnsi="Simplified Arabic" w:cs="Simplified Arabic" w:hint="cs"/>
          <w:sz w:val="22"/>
          <w:szCs w:val="22"/>
          <w:rtl/>
        </w:rPr>
        <w:t>.</w:t>
      </w:r>
      <w:r w:rsidRPr="008A4774">
        <w:rPr>
          <w:rFonts w:ascii="Simplified Arabic" w:hAnsi="Simplified Arabic" w:cs="Simplified Arabic"/>
          <w:sz w:val="22"/>
          <w:szCs w:val="22"/>
          <w:rtl/>
        </w:rPr>
        <w:t>139</w:t>
      </w:r>
      <w:r>
        <w:rPr>
          <w:rFonts w:ascii="Simplified Arabic" w:hAnsi="Simplified Arabic" w:cs="Simplified Arabic" w:hint="cs"/>
          <w:sz w:val="22"/>
          <w:szCs w:val="22"/>
          <w:rtl/>
        </w:rPr>
        <w:t>.</w:t>
      </w:r>
      <w:r w:rsidRPr="008A4774">
        <w:rPr>
          <w:rFonts w:ascii="Simplified Arabic" w:hAnsi="Simplified Arabic" w:cs="Simplified Arabic"/>
          <w:sz w:val="22"/>
          <w:szCs w:val="22"/>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03078"/>
    <w:multiLevelType w:val="hybridMultilevel"/>
    <w:tmpl w:val="63426CD0"/>
    <w:lvl w:ilvl="0" w:tplc="93EC3E74">
      <w:numFmt w:val="bullet"/>
      <w:lvlText w:val="-"/>
      <w:lvlJc w:val="left"/>
      <w:pPr>
        <w:ind w:left="360" w:hanging="360"/>
      </w:pPr>
      <w:rPr>
        <w:rFonts w:ascii="Calibri" w:eastAsia="Calibri" w:hAnsi="Calibri"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5A"/>
    <w:rsid w:val="002509DF"/>
    <w:rsid w:val="002F185A"/>
    <w:rsid w:val="003D1B87"/>
    <w:rsid w:val="00680080"/>
    <w:rsid w:val="00C62A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A2F00-5B61-42C0-853A-CE106649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800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0080"/>
    <w:rPr>
      <w:rFonts w:ascii="Times New Roman" w:eastAsia="Times New Roman" w:hAnsi="Times New Roman" w:cs="Times New Roman"/>
      <w:sz w:val="20"/>
      <w:szCs w:val="20"/>
    </w:rPr>
  </w:style>
  <w:style w:type="character" w:styleId="FootnoteReference">
    <w:name w:val="footnote reference"/>
    <w:basedOn w:val="DefaultParagraphFont"/>
    <w:semiHidden/>
    <w:rsid w:val="00680080"/>
    <w:rPr>
      <w:vertAlign w:val="superscript"/>
    </w:rPr>
  </w:style>
  <w:style w:type="character" w:styleId="Hyperlink">
    <w:name w:val="Hyperlink"/>
    <w:basedOn w:val="DefaultParagraphFont"/>
    <w:unhideWhenUsed/>
    <w:rsid w:val="006800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theatlantic.com/past/politics/foreign/jfhw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1894</Words>
  <Characters>10801</Characters>
  <Application>Microsoft Office Word</Application>
  <DocSecurity>0</DocSecurity>
  <Lines>90</Lines>
  <Paragraphs>25</Paragraphs>
  <ScaleCrop>false</ScaleCrop>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2026-03-06T13:59:00Z</dcterms:created>
  <dcterms:modified xsi:type="dcterms:W3CDTF">2026-03-06T13:59:00Z</dcterms:modified>
</cp:coreProperties>
</file>