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314" w:type="dxa"/>
        <w:tblLook w:val="04A0" w:firstRow="1" w:lastRow="0" w:firstColumn="1" w:lastColumn="0" w:noHBand="0" w:noVBand="1"/>
      </w:tblPr>
      <w:tblGrid>
        <w:gridCol w:w="665"/>
        <w:gridCol w:w="1943"/>
        <w:gridCol w:w="2410"/>
        <w:gridCol w:w="5296"/>
      </w:tblGrid>
      <w:tr w:rsidR="003D7F24" w:rsidRPr="003D7F24" w14:paraId="50542C56" w14:textId="77777777" w:rsidTr="0081225E">
        <w:trPr>
          <w:cantSplit/>
        </w:trPr>
        <w:tc>
          <w:tcPr>
            <w:tcW w:w="665" w:type="dxa"/>
            <w:tcBorders>
              <w:bottom w:val="single" w:sz="4" w:space="0" w:color="000000" w:themeColor="text1"/>
            </w:tcBorders>
            <w:tcMar>
              <w:top w:w="170" w:type="dxa"/>
              <w:left w:w="57" w:type="dxa"/>
              <w:bottom w:w="170" w:type="dxa"/>
              <w:right w:w="57" w:type="dxa"/>
            </w:tcMar>
          </w:tcPr>
          <w:p w14:paraId="6084D661" w14:textId="77777777" w:rsidR="003D7F24" w:rsidRPr="003D7F24" w:rsidRDefault="003D7F24" w:rsidP="0081225E">
            <w:pPr>
              <w:bidi/>
              <w:ind w:firstLine="0"/>
              <w:rPr>
                <w:rFonts w:cs="Simplified Arabic"/>
                <w:sz w:val="28"/>
                <w:szCs w:val="28"/>
              </w:rPr>
            </w:pPr>
            <w:r w:rsidRPr="003D7F24">
              <w:rPr>
                <w:rFonts w:cs="Simplified Arabic" w:hint="cs"/>
                <w:sz w:val="28"/>
                <w:szCs w:val="28"/>
                <w:rtl/>
              </w:rPr>
              <w:t>16</w:t>
            </w:r>
          </w:p>
        </w:tc>
        <w:tc>
          <w:tcPr>
            <w:tcW w:w="1943" w:type="dxa"/>
            <w:tcBorders>
              <w:bottom w:val="single" w:sz="4" w:space="0" w:color="000000" w:themeColor="text1"/>
            </w:tcBorders>
            <w:tcMar>
              <w:top w:w="170" w:type="dxa"/>
              <w:left w:w="57" w:type="dxa"/>
              <w:bottom w:w="170" w:type="dxa"/>
              <w:right w:w="57" w:type="dxa"/>
            </w:tcMar>
          </w:tcPr>
          <w:p w14:paraId="63213ADA" w14:textId="77777777" w:rsidR="003D7F24" w:rsidRPr="003D7F24" w:rsidRDefault="003D7F24" w:rsidP="0081225E">
            <w:pPr>
              <w:bidi/>
              <w:ind w:firstLine="0"/>
              <w:jc w:val="left"/>
              <w:rPr>
                <w:rFonts w:cs="Simplified Arabic"/>
                <w:sz w:val="28"/>
                <w:szCs w:val="28"/>
                <w:rtl/>
              </w:rPr>
            </w:pPr>
            <w:r w:rsidRPr="003D7F24">
              <w:rPr>
                <w:rFonts w:cs="Simplified Arabic" w:hint="cs"/>
                <w:sz w:val="28"/>
                <w:szCs w:val="28"/>
                <w:rtl/>
              </w:rPr>
              <w:t>شركة التوصية بالأسهم</w:t>
            </w:r>
          </w:p>
        </w:tc>
        <w:tc>
          <w:tcPr>
            <w:tcW w:w="2410" w:type="dxa"/>
            <w:tcBorders>
              <w:bottom w:val="single" w:sz="4" w:space="0" w:color="000000" w:themeColor="text1"/>
            </w:tcBorders>
            <w:tcMar>
              <w:top w:w="170" w:type="dxa"/>
              <w:left w:w="113" w:type="dxa"/>
              <w:bottom w:w="170" w:type="dxa"/>
              <w:right w:w="113" w:type="dxa"/>
            </w:tcMar>
          </w:tcPr>
          <w:p w14:paraId="0CDBA174" w14:textId="77777777" w:rsidR="003D7F24" w:rsidRPr="003D7F24" w:rsidRDefault="003D7F24" w:rsidP="0081225E">
            <w:pPr>
              <w:ind w:firstLine="0"/>
              <w:jc w:val="left"/>
              <w:rPr>
                <w:rFonts w:cs="Simplified Arabic"/>
                <w:sz w:val="28"/>
                <w:szCs w:val="28"/>
                <w:rtl/>
              </w:rPr>
            </w:pPr>
            <w:r w:rsidRPr="003D7F24">
              <w:rPr>
                <w:rFonts w:cs="Simplified Arabic"/>
                <w:sz w:val="28"/>
                <w:szCs w:val="28"/>
              </w:rPr>
              <w:t xml:space="preserve">Société en Commandité par Actions </w:t>
            </w:r>
          </w:p>
        </w:tc>
        <w:tc>
          <w:tcPr>
            <w:tcW w:w="5296" w:type="dxa"/>
            <w:tcBorders>
              <w:bottom w:val="single" w:sz="4" w:space="0" w:color="000000" w:themeColor="text1"/>
            </w:tcBorders>
            <w:tcMar>
              <w:top w:w="170" w:type="dxa"/>
              <w:left w:w="57" w:type="dxa"/>
              <w:bottom w:w="170" w:type="dxa"/>
              <w:right w:w="57" w:type="dxa"/>
            </w:tcMar>
          </w:tcPr>
          <w:p w14:paraId="60CD93F7"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lang w:bidi="ar-DZ"/>
              </w:rPr>
              <w:t xml:space="preserve">وهي شركة </w:t>
            </w:r>
            <w:r w:rsidRPr="003D7F24">
              <w:rPr>
                <w:rFonts w:cs="Simplified Arabic"/>
                <w:sz w:val="28"/>
                <w:szCs w:val="28"/>
                <w:rtl/>
              </w:rPr>
              <w:t>تضم فريقين من الشركاء:</w:t>
            </w:r>
          </w:p>
          <w:p w14:paraId="49B246BE"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rPr>
              <w:t>-</w:t>
            </w:r>
            <w:r w:rsidRPr="003D7F24">
              <w:rPr>
                <w:rFonts w:cs="Simplified Arabic"/>
                <w:sz w:val="28"/>
                <w:szCs w:val="28"/>
                <w:rtl/>
              </w:rPr>
              <w:t xml:space="preserve"> شركاء متضامنون وبالتالي فإن الشركة تعتبر بالنسبة إليهم شركة أشخاص، إذ يكتسبون جميعهم صفة التاجر ويسألون مسؤولية تضامنية وغير محددة عن جميع ديون الشركة، وفي مقابل ذلك يستأثرون بالإدارة</w:t>
            </w:r>
            <w:r w:rsidRPr="003D7F24">
              <w:rPr>
                <w:rFonts w:cs="Simplified Arabic" w:hint="cs"/>
                <w:sz w:val="28"/>
                <w:szCs w:val="28"/>
                <w:rtl/>
              </w:rPr>
              <w:t>.</w:t>
            </w:r>
          </w:p>
          <w:p w14:paraId="5750C2F6"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rPr>
              <w:t>-</w:t>
            </w:r>
            <w:r w:rsidRPr="003D7F24">
              <w:rPr>
                <w:rFonts w:cs="Simplified Arabic"/>
                <w:sz w:val="28"/>
                <w:szCs w:val="28"/>
                <w:rtl/>
              </w:rPr>
              <w:t xml:space="preserve"> وشركاء موصون لا يترتب على دخولهم في الشركة اكتساب صفة التاجر ولا يسألون عن ديون الشركة إلا في حدود حصصهم التي تأخذ شكل الأسهم القابلة للتداول بالطرق التجارية، وبالتالي فإن الشركة تعتبر بالنسبة إليهم شركة أموال</w:t>
            </w:r>
            <w:r w:rsidRPr="003D7F24">
              <w:rPr>
                <w:rFonts w:cs="Simplified Arabic" w:hint="cs"/>
                <w:sz w:val="28"/>
                <w:szCs w:val="28"/>
                <w:rtl/>
              </w:rPr>
              <w:t>.</w:t>
            </w:r>
          </w:p>
        </w:tc>
      </w:tr>
      <w:tr w:rsidR="003D7F24" w:rsidRPr="003D7F24" w14:paraId="784B1C61" w14:textId="77777777" w:rsidTr="0081225E">
        <w:trPr>
          <w:cantSplit/>
        </w:trPr>
        <w:tc>
          <w:tcPr>
            <w:tcW w:w="665" w:type="dxa"/>
            <w:tcMar>
              <w:top w:w="170" w:type="dxa"/>
              <w:left w:w="57" w:type="dxa"/>
              <w:bottom w:w="170" w:type="dxa"/>
              <w:right w:w="57" w:type="dxa"/>
            </w:tcMar>
          </w:tcPr>
          <w:p w14:paraId="4835B855" w14:textId="77777777" w:rsidR="003D7F24" w:rsidRPr="003D7F24" w:rsidRDefault="003D7F24" w:rsidP="0081225E">
            <w:pPr>
              <w:bidi/>
              <w:ind w:firstLine="0"/>
              <w:rPr>
                <w:rFonts w:cs="Simplified Arabic"/>
                <w:sz w:val="28"/>
                <w:szCs w:val="28"/>
              </w:rPr>
            </w:pPr>
            <w:r w:rsidRPr="003D7F24">
              <w:rPr>
                <w:rFonts w:cs="Simplified Arabic" w:hint="cs"/>
                <w:sz w:val="28"/>
                <w:szCs w:val="28"/>
                <w:rtl/>
              </w:rPr>
              <w:t>17</w:t>
            </w:r>
          </w:p>
        </w:tc>
        <w:tc>
          <w:tcPr>
            <w:tcW w:w="1943" w:type="dxa"/>
            <w:tcMar>
              <w:top w:w="170" w:type="dxa"/>
              <w:left w:w="57" w:type="dxa"/>
              <w:bottom w:w="170" w:type="dxa"/>
              <w:right w:w="57" w:type="dxa"/>
            </w:tcMar>
          </w:tcPr>
          <w:p w14:paraId="4FED6D98" w14:textId="77777777" w:rsidR="003D7F24" w:rsidRPr="003D7F24" w:rsidRDefault="003D7F24" w:rsidP="0081225E">
            <w:pPr>
              <w:bidi/>
              <w:ind w:firstLine="0"/>
              <w:jc w:val="left"/>
              <w:rPr>
                <w:rFonts w:cs="Simplified Arabic"/>
                <w:sz w:val="28"/>
                <w:szCs w:val="28"/>
                <w:rtl/>
              </w:rPr>
            </w:pPr>
            <w:r w:rsidRPr="003D7F24">
              <w:rPr>
                <w:rFonts w:cs="Simplified Arabic" w:hint="cs"/>
                <w:sz w:val="28"/>
                <w:szCs w:val="28"/>
                <w:rtl/>
              </w:rPr>
              <w:t>الشركة ذات المسؤولية المحدودة</w:t>
            </w:r>
          </w:p>
        </w:tc>
        <w:tc>
          <w:tcPr>
            <w:tcW w:w="2410" w:type="dxa"/>
            <w:tcMar>
              <w:top w:w="170" w:type="dxa"/>
              <w:left w:w="113" w:type="dxa"/>
              <w:bottom w:w="170" w:type="dxa"/>
              <w:right w:w="113" w:type="dxa"/>
            </w:tcMar>
          </w:tcPr>
          <w:p w14:paraId="62923C74" w14:textId="77777777" w:rsidR="003D7F24" w:rsidRPr="003D7F24" w:rsidRDefault="003D7F24" w:rsidP="0081225E">
            <w:pPr>
              <w:ind w:firstLine="0"/>
              <w:jc w:val="left"/>
              <w:rPr>
                <w:rFonts w:cs="Simplified Arabic"/>
                <w:sz w:val="28"/>
                <w:szCs w:val="28"/>
                <w:rtl/>
              </w:rPr>
            </w:pPr>
            <w:r w:rsidRPr="003D7F24">
              <w:rPr>
                <w:rFonts w:cs="Simplified Arabic"/>
                <w:sz w:val="28"/>
                <w:szCs w:val="28"/>
              </w:rPr>
              <w:t xml:space="preserve">Société </w:t>
            </w:r>
            <w:proofErr w:type="spellStart"/>
            <w:r w:rsidRPr="003D7F24">
              <w:rPr>
                <w:rFonts w:cs="Simplified Arabic"/>
                <w:sz w:val="28"/>
                <w:szCs w:val="28"/>
              </w:rPr>
              <w:t>a</w:t>
            </w:r>
            <w:proofErr w:type="spellEnd"/>
            <w:r w:rsidRPr="003D7F24">
              <w:rPr>
                <w:rFonts w:cs="Simplified Arabic"/>
                <w:sz w:val="28"/>
                <w:szCs w:val="28"/>
              </w:rPr>
              <w:t xml:space="preserve"> Responsabilité Limitée</w:t>
            </w:r>
          </w:p>
          <w:p w14:paraId="1F261EFC" w14:textId="77777777" w:rsidR="003D7F24" w:rsidRPr="003D7F24" w:rsidRDefault="003D7F24" w:rsidP="0081225E">
            <w:pPr>
              <w:ind w:firstLine="0"/>
              <w:jc w:val="left"/>
              <w:rPr>
                <w:rFonts w:cs="Simplified Arabic"/>
                <w:sz w:val="28"/>
                <w:szCs w:val="28"/>
                <w:rtl/>
              </w:rPr>
            </w:pPr>
            <w:r w:rsidRPr="003D7F24">
              <w:rPr>
                <w:rFonts w:cs="Simplified Arabic"/>
                <w:sz w:val="28"/>
                <w:szCs w:val="28"/>
              </w:rPr>
              <w:t>(Société par Actions)</w:t>
            </w:r>
          </w:p>
        </w:tc>
        <w:tc>
          <w:tcPr>
            <w:tcW w:w="5296" w:type="dxa"/>
            <w:tcMar>
              <w:top w:w="170" w:type="dxa"/>
              <w:left w:w="57" w:type="dxa"/>
              <w:bottom w:w="170" w:type="dxa"/>
              <w:right w:w="57" w:type="dxa"/>
            </w:tcMar>
          </w:tcPr>
          <w:p w14:paraId="147F7228"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rPr>
              <w:t>وهي شركة تتألف من عدد من الأشخاص يكتتبون فيها بأسهم قابلة للتداول، ويكونون مسؤولين عن ديونها بمقدار القيمة الاسمية لما اكتتبوا به من أسهمها.</w:t>
            </w:r>
          </w:p>
        </w:tc>
      </w:tr>
      <w:tr w:rsidR="003D7F24" w:rsidRPr="003D7F24" w14:paraId="4A64637B" w14:textId="77777777" w:rsidTr="0081225E">
        <w:trPr>
          <w:cantSplit/>
        </w:trPr>
        <w:tc>
          <w:tcPr>
            <w:tcW w:w="665" w:type="dxa"/>
            <w:tcMar>
              <w:top w:w="170" w:type="dxa"/>
              <w:left w:w="57" w:type="dxa"/>
              <w:bottom w:w="170" w:type="dxa"/>
              <w:right w:w="57" w:type="dxa"/>
            </w:tcMar>
          </w:tcPr>
          <w:p w14:paraId="748CA9C0" w14:textId="77777777" w:rsidR="003D7F24" w:rsidRPr="003D7F24" w:rsidRDefault="003D7F24" w:rsidP="0081225E">
            <w:pPr>
              <w:bidi/>
              <w:ind w:firstLine="0"/>
              <w:rPr>
                <w:rFonts w:cs="Simplified Arabic"/>
                <w:sz w:val="28"/>
                <w:szCs w:val="28"/>
                <w:rtl/>
              </w:rPr>
            </w:pPr>
            <w:r w:rsidRPr="003D7F24">
              <w:rPr>
                <w:rFonts w:cs="Simplified Arabic"/>
                <w:sz w:val="28"/>
                <w:szCs w:val="28"/>
              </w:rPr>
              <w:t>18</w:t>
            </w:r>
          </w:p>
        </w:tc>
        <w:tc>
          <w:tcPr>
            <w:tcW w:w="1943" w:type="dxa"/>
            <w:tcMar>
              <w:top w:w="170" w:type="dxa"/>
              <w:left w:w="57" w:type="dxa"/>
              <w:bottom w:w="170" w:type="dxa"/>
              <w:right w:w="57" w:type="dxa"/>
            </w:tcMar>
          </w:tcPr>
          <w:p w14:paraId="535915F9" w14:textId="77777777" w:rsidR="003D7F24" w:rsidRPr="003D7F24" w:rsidRDefault="003D7F24" w:rsidP="0081225E">
            <w:pPr>
              <w:bidi/>
              <w:ind w:firstLine="0"/>
              <w:jc w:val="left"/>
              <w:rPr>
                <w:rFonts w:cs="Simplified Arabic"/>
                <w:sz w:val="28"/>
                <w:szCs w:val="28"/>
                <w:rtl/>
              </w:rPr>
            </w:pPr>
            <w:r w:rsidRPr="003D7F24">
              <w:rPr>
                <w:rFonts w:cs="Simplified Arabic" w:hint="cs"/>
                <w:sz w:val="28"/>
                <w:szCs w:val="28"/>
                <w:rtl/>
              </w:rPr>
              <w:t>الشركة غير المحدودة</w:t>
            </w:r>
          </w:p>
        </w:tc>
        <w:tc>
          <w:tcPr>
            <w:tcW w:w="2410" w:type="dxa"/>
            <w:tcMar>
              <w:top w:w="170" w:type="dxa"/>
              <w:left w:w="113" w:type="dxa"/>
              <w:bottom w:w="170" w:type="dxa"/>
              <w:right w:w="113" w:type="dxa"/>
            </w:tcMar>
          </w:tcPr>
          <w:p w14:paraId="1BACC89A" w14:textId="77777777" w:rsidR="003D7F24" w:rsidRPr="003D7F24" w:rsidRDefault="003D7F24" w:rsidP="0081225E">
            <w:pPr>
              <w:ind w:firstLine="0"/>
              <w:jc w:val="left"/>
              <w:rPr>
                <w:rFonts w:cs="Simplified Arabic"/>
                <w:sz w:val="28"/>
                <w:szCs w:val="28"/>
                <w:rtl/>
              </w:rPr>
            </w:pPr>
            <w:r w:rsidRPr="003D7F24">
              <w:rPr>
                <w:rFonts w:cs="Simplified Arabic"/>
                <w:sz w:val="28"/>
                <w:szCs w:val="28"/>
              </w:rPr>
              <w:t>Société Illimitée</w:t>
            </w:r>
          </w:p>
        </w:tc>
        <w:tc>
          <w:tcPr>
            <w:tcW w:w="5296" w:type="dxa"/>
            <w:tcMar>
              <w:top w:w="170" w:type="dxa"/>
              <w:left w:w="57" w:type="dxa"/>
              <w:bottom w:w="170" w:type="dxa"/>
              <w:right w:w="57" w:type="dxa"/>
            </w:tcMar>
          </w:tcPr>
          <w:p w14:paraId="4E9878F0"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rPr>
              <w:t>شركة لا تتضمن حدا أدنى لمسؤولية مساهميها عن التزاماتهم</w:t>
            </w:r>
          </w:p>
        </w:tc>
      </w:tr>
      <w:tr w:rsidR="003D7F24" w:rsidRPr="003D7F24" w14:paraId="35AABD27" w14:textId="77777777" w:rsidTr="0081225E">
        <w:trPr>
          <w:cantSplit/>
        </w:trPr>
        <w:tc>
          <w:tcPr>
            <w:tcW w:w="665" w:type="dxa"/>
            <w:tcMar>
              <w:top w:w="170" w:type="dxa"/>
              <w:left w:w="57" w:type="dxa"/>
              <w:bottom w:w="170" w:type="dxa"/>
              <w:right w:w="57" w:type="dxa"/>
            </w:tcMar>
          </w:tcPr>
          <w:p w14:paraId="08494CCA" w14:textId="77777777" w:rsidR="003D7F24" w:rsidRPr="003D7F24" w:rsidRDefault="003D7F24" w:rsidP="0081225E">
            <w:pPr>
              <w:bidi/>
              <w:ind w:firstLine="0"/>
              <w:rPr>
                <w:rFonts w:cs="Simplified Arabic"/>
                <w:sz w:val="28"/>
                <w:szCs w:val="28"/>
              </w:rPr>
            </w:pPr>
            <w:r w:rsidRPr="003D7F24">
              <w:rPr>
                <w:rFonts w:cs="Simplified Arabic" w:hint="cs"/>
                <w:sz w:val="28"/>
                <w:szCs w:val="28"/>
                <w:rtl/>
              </w:rPr>
              <w:lastRenderedPageBreak/>
              <w:t>1</w:t>
            </w:r>
            <w:r w:rsidRPr="003D7F24">
              <w:rPr>
                <w:rFonts w:cs="Simplified Arabic"/>
                <w:sz w:val="28"/>
                <w:szCs w:val="28"/>
              </w:rPr>
              <w:t>9</w:t>
            </w:r>
          </w:p>
        </w:tc>
        <w:tc>
          <w:tcPr>
            <w:tcW w:w="1943" w:type="dxa"/>
            <w:tcMar>
              <w:top w:w="170" w:type="dxa"/>
              <w:left w:w="57" w:type="dxa"/>
              <w:bottom w:w="170" w:type="dxa"/>
              <w:right w:w="57" w:type="dxa"/>
            </w:tcMar>
          </w:tcPr>
          <w:p w14:paraId="7F139275" w14:textId="77777777" w:rsidR="003D7F24" w:rsidRPr="003D7F24" w:rsidRDefault="003D7F24" w:rsidP="0081225E">
            <w:pPr>
              <w:bidi/>
              <w:ind w:firstLine="0"/>
              <w:rPr>
                <w:rFonts w:cs="Simplified Arabic"/>
                <w:sz w:val="28"/>
                <w:szCs w:val="28"/>
                <w:rtl/>
              </w:rPr>
            </w:pPr>
            <w:r w:rsidRPr="003D7F24">
              <w:rPr>
                <w:rFonts w:cs="Simplified Arabic" w:hint="cs"/>
                <w:sz w:val="28"/>
                <w:szCs w:val="28"/>
                <w:rtl/>
              </w:rPr>
              <w:t>شركة المحاصة</w:t>
            </w:r>
          </w:p>
        </w:tc>
        <w:tc>
          <w:tcPr>
            <w:tcW w:w="2410" w:type="dxa"/>
            <w:tcMar>
              <w:top w:w="170" w:type="dxa"/>
              <w:left w:w="113" w:type="dxa"/>
              <w:bottom w:w="170" w:type="dxa"/>
              <w:right w:w="113" w:type="dxa"/>
            </w:tcMar>
          </w:tcPr>
          <w:p w14:paraId="2CE691BC" w14:textId="77777777" w:rsidR="003D7F24" w:rsidRPr="003D7F24" w:rsidRDefault="003D7F24" w:rsidP="0081225E">
            <w:pPr>
              <w:ind w:firstLine="0"/>
              <w:jc w:val="left"/>
              <w:rPr>
                <w:rFonts w:cs="Simplified Arabic"/>
                <w:sz w:val="28"/>
                <w:szCs w:val="28"/>
                <w:highlight w:val="yellow"/>
                <w:rtl/>
              </w:rPr>
            </w:pPr>
            <w:r w:rsidRPr="003D7F24">
              <w:rPr>
                <w:rFonts w:cs="Simplified Arabic"/>
                <w:sz w:val="28"/>
                <w:szCs w:val="28"/>
              </w:rPr>
              <w:t>Association en Participation</w:t>
            </w:r>
          </w:p>
        </w:tc>
        <w:tc>
          <w:tcPr>
            <w:tcW w:w="5296" w:type="dxa"/>
            <w:tcMar>
              <w:top w:w="170" w:type="dxa"/>
              <w:left w:w="57" w:type="dxa"/>
              <w:bottom w:w="170" w:type="dxa"/>
              <w:right w:w="57" w:type="dxa"/>
            </w:tcMar>
          </w:tcPr>
          <w:p w14:paraId="24719D42" w14:textId="77777777" w:rsidR="003D7F24" w:rsidRPr="003D7F24" w:rsidRDefault="003D7F24" w:rsidP="0081225E">
            <w:pPr>
              <w:bidi/>
              <w:ind w:firstLine="0"/>
              <w:rPr>
                <w:rFonts w:cs="Simplified Arabic"/>
                <w:sz w:val="28"/>
                <w:szCs w:val="28"/>
                <w:rtl/>
              </w:rPr>
            </w:pPr>
            <w:r w:rsidRPr="003D7F24">
              <w:rPr>
                <w:rFonts w:cs="Simplified Arabic"/>
                <w:sz w:val="28"/>
                <w:szCs w:val="28"/>
                <w:rtl/>
              </w:rPr>
              <w:t>وهي شركة مستترة</w:t>
            </w:r>
            <w:r w:rsidRPr="003D7F24">
              <w:rPr>
                <w:rFonts w:cs="Simplified Arabic" w:hint="cs"/>
                <w:sz w:val="28"/>
                <w:szCs w:val="28"/>
                <w:rtl/>
              </w:rPr>
              <w:t xml:space="preserve"> بالنسبة للقانون،</w:t>
            </w:r>
            <w:r w:rsidRPr="003D7F24">
              <w:rPr>
                <w:rFonts w:cs="Simplified Arabic"/>
                <w:sz w:val="28"/>
                <w:szCs w:val="28"/>
                <w:rtl/>
              </w:rPr>
              <w:t xml:space="preserve"> لا تتمتع بالشخصية المعنوية ولا وجود لها بالنسبة إلى الغير وتقتصر آثارها على الشركاء فقط.</w:t>
            </w:r>
          </w:p>
        </w:tc>
      </w:tr>
    </w:tbl>
    <w:p w14:paraId="767468AD" w14:textId="77777777" w:rsidR="009B020E" w:rsidRPr="003D7F24" w:rsidRDefault="009B020E" w:rsidP="003D7F24">
      <w:pPr>
        <w:bidi/>
        <w:rPr>
          <w:sz w:val="28"/>
          <w:szCs w:val="28"/>
        </w:rPr>
      </w:pPr>
    </w:p>
    <w:sectPr w:rsidR="009B020E" w:rsidRPr="003D7F24" w:rsidSect="00215FA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22A8" w14:textId="77777777" w:rsidR="007728FD" w:rsidRDefault="007728FD" w:rsidP="0006375C">
      <w:pPr>
        <w:spacing w:line="240" w:lineRule="auto"/>
      </w:pPr>
      <w:r>
        <w:separator/>
      </w:r>
    </w:p>
  </w:endnote>
  <w:endnote w:type="continuationSeparator" w:id="0">
    <w:p w14:paraId="0A93E2A3" w14:textId="77777777" w:rsidR="007728FD" w:rsidRDefault="007728FD" w:rsidP="00063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7023" w14:textId="77777777" w:rsidR="0006375C" w:rsidRPr="002F45CD" w:rsidRDefault="0006375C" w:rsidP="0006375C">
    <w:pPr>
      <w:pStyle w:val="Footer"/>
      <w:jc w:val="right"/>
      <w:rPr>
        <w:rFonts w:hint="cs"/>
        <w:rtl/>
        <w:lang w:val="en-US" w:bidi="ar-DZ"/>
      </w:rPr>
    </w:pPr>
    <w:r>
      <w:rPr>
        <w:rFonts w:hint="cs"/>
        <w:rtl/>
      </w:rPr>
      <w:t xml:space="preserve">الثالثة ليسانس </w:t>
    </w:r>
    <w:r>
      <w:rPr>
        <w:rtl/>
      </w:rPr>
      <w:t>–</w:t>
    </w:r>
    <w:r>
      <w:rPr>
        <w:rFonts w:hint="cs"/>
        <w:rtl/>
      </w:rPr>
      <w:t xml:space="preserve"> قانون خاص -  مصطلحات فرنسية</w:t>
    </w:r>
    <w:r>
      <w:rPr>
        <w:rtl/>
      </w:rPr>
      <w:t>–</w:t>
    </w:r>
    <w:r>
      <w:rPr>
        <w:rFonts w:hint="cs"/>
        <w:rtl/>
      </w:rPr>
      <w:t xml:space="preserve">2025/2026 </w:t>
    </w:r>
    <w:r>
      <w:rPr>
        <w:rtl/>
      </w:rPr>
      <w:t>–</w:t>
    </w:r>
    <w:r>
      <w:rPr>
        <w:rFonts w:hint="cs"/>
        <w:rtl/>
      </w:rPr>
      <w:t xml:space="preserve"> السداسي الثان</w:t>
    </w:r>
    <w:r>
      <w:rPr>
        <w:rFonts w:hint="cs"/>
        <w:rtl/>
        <w:lang w:val="en-US" w:bidi="ar-DZ"/>
      </w:rPr>
      <w:t>ي</w:t>
    </w:r>
  </w:p>
  <w:p w14:paraId="63832B1C" w14:textId="77777777" w:rsidR="0006375C" w:rsidRDefault="0006375C">
    <w:pPr>
      <w:pStyle w:val="Footer"/>
      <w:rPr>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D70" w14:textId="77777777" w:rsidR="007728FD" w:rsidRDefault="007728FD" w:rsidP="0006375C">
      <w:pPr>
        <w:spacing w:line="240" w:lineRule="auto"/>
      </w:pPr>
      <w:r>
        <w:separator/>
      </w:r>
    </w:p>
  </w:footnote>
  <w:footnote w:type="continuationSeparator" w:id="0">
    <w:p w14:paraId="459266E0" w14:textId="77777777" w:rsidR="007728FD" w:rsidRDefault="007728FD" w:rsidP="000637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A4"/>
    <w:rsid w:val="000048E0"/>
    <w:rsid w:val="0006375C"/>
    <w:rsid w:val="00215FA4"/>
    <w:rsid w:val="002B10F2"/>
    <w:rsid w:val="003D7F24"/>
    <w:rsid w:val="004B0FF6"/>
    <w:rsid w:val="00503F60"/>
    <w:rsid w:val="007728FD"/>
    <w:rsid w:val="007A2A7B"/>
    <w:rsid w:val="009B020E"/>
    <w:rsid w:val="009B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7E1B"/>
  <w15:chartTrackingRefBased/>
  <w15:docId w15:val="{FBF56290-0FAA-46DE-BB25-74309F60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A4"/>
    <w:pPr>
      <w:spacing w:after="0" w:line="360" w:lineRule="auto"/>
      <w:ind w:firstLine="397"/>
      <w:jc w:val="both"/>
    </w:pPr>
    <w:rPr>
      <w:kern w:val="0"/>
      <w:sz w:val="22"/>
      <w:szCs w:val="22"/>
      <w:lang w:val="fr-FR"/>
      <w14:ligatures w14:val="none"/>
    </w:rPr>
  </w:style>
  <w:style w:type="paragraph" w:styleId="Heading1">
    <w:name w:val="heading 1"/>
    <w:basedOn w:val="Normal"/>
    <w:next w:val="Normal"/>
    <w:link w:val="Heading1Char"/>
    <w:uiPriority w:val="9"/>
    <w:qFormat/>
    <w:rsid w:val="00215FA4"/>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15FA4"/>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15FA4"/>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15FA4"/>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15FA4"/>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15FA4"/>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15FA4"/>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15FA4"/>
    <w:pPr>
      <w:keepNext/>
      <w:keepLines/>
      <w:spacing w:line="278" w:lineRule="auto"/>
      <w:ind w:firstLine="0"/>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15FA4"/>
    <w:pPr>
      <w:keepNext/>
      <w:keepLines/>
      <w:spacing w:line="278" w:lineRule="auto"/>
      <w:ind w:firstLine="0"/>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F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F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F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F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A4"/>
    <w:rPr>
      <w:rFonts w:eastAsiaTheme="majorEastAsia" w:cstheme="majorBidi"/>
      <w:color w:val="272727" w:themeColor="text1" w:themeTint="D8"/>
    </w:rPr>
  </w:style>
  <w:style w:type="paragraph" w:styleId="Title">
    <w:name w:val="Title"/>
    <w:basedOn w:val="Normal"/>
    <w:next w:val="Normal"/>
    <w:link w:val="TitleChar"/>
    <w:uiPriority w:val="10"/>
    <w:qFormat/>
    <w:rsid w:val="00215FA4"/>
    <w:pPr>
      <w:spacing w:after="80" w:line="240" w:lineRule="auto"/>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1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A4"/>
    <w:pPr>
      <w:numPr>
        <w:ilvl w:val="1"/>
      </w:numPr>
      <w:spacing w:after="160" w:line="278" w:lineRule="auto"/>
      <w:ind w:firstLine="397"/>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1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A4"/>
    <w:pPr>
      <w:spacing w:before="160" w:after="160" w:line="278" w:lineRule="auto"/>
      <w:ind w:firstLine="0"/>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15FA4"/>
    <w:rPr>
      <w:i/>
      <w:iCs/>
      <w:color w:val="404040" w:themeColor="text1" w:themeTint="BF"/>
    </w:rPr>
  </w:style>
  <w:style w:type="paragraph" w:styleId="ListParagraph">
    <w:name w:val="List Paragraph"/>
    <w:basedOn w:val="Normal"/>
    <w:uiPriority w:val="34"/>
    <w:qFormat/>
    <w:rsid w:val="00215FA4"/>
    <w:pPr>
      <w:spacing w:after="160" w:line="278" w:lineRule="auto"/>
      <w:ind w:left="720" w:firstLine="0"/>
      <w:contextualSpacing/>
      <w:jc w:val="left"/>
    </w:pPr>
    <w:rPr>
      <w:kern w:val="2"/>
      <w:sz w:val="24"/>
      <w:szCs w:val="24"/>
      <w:lang w:val="en-US"/>
      <w14:ligatures w14:val="standardContextual"/>
    </w:rPr>
  </w:style>
  <w:style w:type="character" w:styleId="IntenseEmphasis">
    <w:name w:val="Intense Emphasis"/>
    <w:basedOn w:val="DefaultParagraphFont"/>
    <w:uiPriority w:val="21"/>
    <w:qFormat/>
    <w:rsid w:val="00215FA4"/>
    <w:rPr>
      <w:i/>
      <w:iCs/>
      <w:color w:val="2F5496" w:themeColor="accent1" w:themeShade="BF"/>
    </w:rPr>
  </w:style>
  <w:style w:type="paragraph" w:styleId="IntenseQuote">
    <w:name w:val="Intense Quote"/>
    <w:basedOn w:val="Normal"/>
    <w:next w:val="Normal"/>
    <w:link w:val="IntenseQuoteChar"/>
    <w:uiPriority w:val="30"/>
    <w:qFormat/>
    <w:rsid w:val="00215FA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15FA4"/>
    <w:rPr>
      <w:i/>
      <w:iCs/>
      <w:color w:val="2F5496" w:themeColor="accent1" w:themeShade="BF"/>
    </w:rPr>
  </w:style>
  <w:style w:type="character" w:styleId="IntenseReference">
    <w:name w:val="Intense Reference"/>
    <w:basedOn w:val="DefaultParagraphFont"/>
    <w:uiPriority w:val="32"/>
    <w:qFormat/>
    <w:rsid w:val="00215FA4"/>
    <w:rPr>
      <w:b/>
      <w:bCs/>
      <w:smallCaps/>
      <w:color w:val="2F5496" w:themeColor="accent1" w:themeShade="BF"/>
      <w:spacing w:val="5"/>
    </w:rPr>
  </w:style>
  <w:style w:type="table" w:styleId="TableGrid">
    <w:name w:val="Table Grid"/>
    <w:basedOn w:val="TableNormal"/>
    <w:uiPriority w:val="59"/>
    <w:rsid w:val="00215FA4"/>
    <w:pPr>
      <w:spacing w:after="0" w:line="240" w:lineRule="auto"/>
      <w:ind w:firstLine="397"/>
      <w:jc w:val="both"/>
    </w:pPr>
    <w:rPr>
      <w:kern w:val="0"/>
      <w:sz w:val="22"/>
      <w:szCs w:val="22"/>
      <w:lang w:val="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375C"/>
    <w:pPr>
      <w:tabs>
        <w:tab w:val="center" w:pos="4680"/>
        <w:tab w:val="right" w:pos="9360"/>
      </w:tabs>
      <w:spacing w:line="240" w:lineRule="auto"/>
    </w:pPr>
  </w:style>
  <w:style w:type="character" w:customStyle="1" w:styleId="HeaderChar">
    <w:name w:val="Header Char"/>
    <w:basedOn w:val="DefaultParagraphFont"/>
    <w:link w:val="Header"/>
    <w:uiPriority w:val="99"/>
    <w:rsid w:val="0006375C"/>
    <w:rPr>
      <w:kern w:val="0"/>
      <w:sz w:val="22"/>
      <w:szCs w:val="22"/>
      <w:lang w:val="fr-FR"/>
      <w14:ligatures w14:val="none"/>
    </w:rPr>
  </w:style>
  <w:style w:type="paragraph" w:styleId="Footer">
    <w:name w:val="footer"/>
    <w:basedOn w:val="Normal"/>
    <w:link w:val="FooterChar"/>
    <w:uiPriority w:val="99"/>
    <w:unhideWhenUsed/>
    <w:rsid w:val="0006375C"/>
    <w:pPr>
      <w:tabs>
        <w:tab w:val="center" w:pos="4680"/>
        <w:tab w:val="right" w:pos="9360"/>
      </w:tabs>
      <w:spacing w:line="240" w:lineRule="auto"/>
    </w:pPr>
  </w:style>
  <w:style w:type="character" w:customStyle="1" w:styleId="FooterChar">
    <w:name w:val="Footer Char"/>
    <w:basedOn w:val="DefaultParagraphFont"/>
    <w:link w:val="Footer"/>
    <w:uiPriority w:val="99"/>
    <w:rsid w:val="0006375C"/>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dc:creator>
  <cp:keywords/>
  <dc:description/>
  <cp:lastModifiedBy>E-learning</cp:lastModifiedBy>
  <cp:revision>2</cp:revision>
  <dcterms:created xsi:type="dcterms:W3CDTF">2026-03-05T13:45:00Z</dcterms:created>
  <dcterms:modified xsi:type="dcterms:W3CDTF">2026-03-05T13:45:00Z</dcterms:modified>
</cp:coreProperties>
</file>