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0F" w:rsidRDefault="0062450F" w:rsidP="0062450F">
      <w:pPr>
        <w:bidi/>
        <w:jc w:val="center"/>
        <w:rPr>
          <w:rFonts w:ascii="Sakkal Majalla" w:hAnsi="Sakkal Majalla" w:cs="Sakkal Majalla"/>
          <w:b/>
          <w:bCs/>
          <w:sz w:val="36"/>
          <w:szCs w:val="36"/>
          <w:lang w:bidi="ar-DZ"/>
        </w:rPr>
      </w:pPr>
      <w:r>
        <w:rPr>
          <w:rFonts w:ascii="Sakkal Majalla" w:hAnsi="Sakkal Majalla" w:cs="Sakkal Majalla"/>
          <w:b/>
          <w:bCs/>
          <w:sz w:val="36"/>
          <w:szCs w:val="36"/>
          <w:rtl/>
          <w:lang w:bidi="ar-DZ"/>
        </w:rPr>
        <w:t>القياس عند اللغوين المحدثين</w:t>
      </w:r>
    </w:p>
    <w:p w:rsidR="0062450F" w:rsidRDefault="0062450F" w:rsidP="0062450F">
      <w:pPr>
        <w:bidi/>
        <w:rPr>
          <w:rFonts w:ascii="Sakkal Majalla" w:hAnsi="Sakkal Majalla" w:cs="Sakkal Majalla"/>
          <w:b/>
          <w:bCs/>
          <w:sz w:val="36"/>
          <w:szCs w:val="36"/>
          <w:lang w:bidi="ar-DZ"/>
        </w:rPr>
      </w:pPr>
      <w:r>
        <w:rPr>
          <w:rFonts w:ascii="Sakkal Majalla" w:hAnsi="Sakkal Majalla" w:cs="Sakkal Majalla"/>
          <w:b/>
          <w:bCs/>
          <w:sz w:val="36"/>
          <w:szCs w:val="36"/>
          <w:rtl/>
          <w:lang w:bidi="ar-DZ"/>
        </w:rPr>
        <w:t>تمهيد:</w:t>
      </w:r>
    </w:p>
    <w:p w:rsidR="0062450F" w:rsidRDefault="0062450F" w:rsidP="0062450F">
      <w:pPr>
        <w:bidi/>
        <w:jc w:val="both"/>
        <w:rPr>
          <w:rFonts w:ascii="Sakkal Majalla" w:hAnsi="Sakkal Majalla" w:cs="Sakkal Majalla"/>
          <w:b/>
          <w:bCs/>
          <w:sz w:val="36"/>
          <w:szCs w:val="36"/>
          <w:lang w:bidi="ar-DZ"/>
        </w:rPr>
      </w:pPr>
      <w:r>
        <w:rPr>
          <w:rFonts w:ascii="Sakkal Majalla" w:hAnsi="Sakkal Majalla" w:cs="Sakkal Majalla"/>
          <w:sz w:val="36"/>
          <w:szCs w:val="36"/>
          <w:rtl/>
          <w:lang w:bidi="ar-DZ"/>
        </w:rPr>
        <w:t>لقد استدعت الضرورة الاهتمام باللغة العربية وعلومها قديما وحديثا نظرا لارتباطها الوثيق بالعقيدة والهوية، وخدمة لهذه اللغة العظيمة راح علماؤنا يبحثون في أسرارها ويدققون في تفاصيلها سعيا للكشف عن نظامها ومكوناتها ،  وقد استطاع  علماء اللغة القدامى أن يحققوا كثيرا من النتائج في مختلف علوم اللغة العربية، فكانوا بذلك مصدرا وأصلا نعود إليه في  عصرنا الحالي، وقد واصل اللسانيون المحدثون  البحث في نظام هذه اللغة ومستوياتها  بمناهج جديدة ومصطلحات حديثة وكان القياس من بين اهتماماتهم لما له من أهمية؛  حيث ساهم في ثراء اللغة العربية وتطويرها عبر مراحل زمنية مختلفة.</w:t>
      </w:r>
    </w:p>
    <w:p w:rsidR="0062450F" w:rsidRDefault="0062450F" w:rsidP="0062450F">
      <w:pPr>
        <w:pStyle w:val="Paragraphedeliste"/>
        <w:numPr>
          <w:ilvl w:val="0"/>
          <w:numId w:val="1"/>
        </w:numPr>
        <w:bidi/>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القياس عند تمام حسان:</w:t>
      </w:r>
    </w:p>
    <w:p w:rsidR="0062450F" w:rsidRDefault="0062450F" w:rsidP="0062450F">
      <w:pPr>
        <w:bidi/>
        <w:ind w:left="360"/>
        <w:jc w:val="both"/>
        <w:rPr>
          <w:rFonts w:ascii="Sakkal Majalla" w:hAnsi="Sakkal Majalla" w:cs="Sakkal Majalla"/>
          <w:sz w:val="36"/>
          <w:szCs w:val="36"/>
          <w:lang w:bidi="ar-DZ"/>
        </w:rPr>
      </w:pPr>
      <w:r>
        <w:rPr>
          <w:rFonts w:ascii="Sakkal Majalla" w:hAnsi="Sakkal Majalla" w:cs="Sakkal Majalla"/>
          <w:sz w:val="36"/>
          <w:szCs w:val="36"/>
          <w:rtl/>
          <w:lang w:bidi="ar-DZ"/>
        </w:rPr>
        <w:t>يرى بأن العلماء سواء (القدماء والمحدثين ) قد أجمعوا على أن القياس أنواع إما قياس استعمالي وإما قياس نحوي، والأول هو انتحاء كلام العرب، وبهذا المعنى لا يكون القياس لا نحوا  وإنما يكون تطبيقا للنحو، أما الثاني فهو ( حمل غير المنقول على المنقول إذا كان في معناه)؛ فالقياس التطبيقي الاستعمالي هو وسيلة كسب اللغة في الطفولة فللطفل ملكة فطرية تجعل في استطاعته أن يكتسب اللغة التي يستعملها من حوله بواسطة استظهار نظامها وتشرب طرق تركيبها. فما يشرف من عمره على نهاية السنة الثالثة حتى يكون قد استظهر كل التراكيب الأساسية لهذه اللغة، وهذه المرحلة تضعف بالتدريج بابتعاد المرء عن مرحلة الطفولة»</w:t>
      </w:r>
      <w:r>
        <w:rPr>
          <w:rStyle w:val="FootnoteReference"/>
          <w:rFonts w:ascii="Sakkal Majalla" w:hAnsi="Sakkal Majalla" w:cs="Sakkal Majalla"/>
          <w:sz w:val="36"/>
          <w:szCs w:val="36"/>
          <w:rtl/>
          <w:lang w:bidi="ar-DZ"/>
        </w:rPr>
        <w:footnoteReference w:id="2"/>
      </w:r>
      <w:r>
        <w:rPr>
          <w:rFonts w:ascii="Sakkal Majalla" w:hAnsi="Sakkal Majalla" w:cs="Sakkal Majalla"/>
          <w:sz w:val="36"/>
          <w:szCs w:val="36"/>
          <w:rtl/>
          <w:lang w:bidi="ar-DZ"/>
        </w:rPr>
        <w:t xml:space="preserve">. </w:t>
      </w:r>
    </w:p>
    <w:p w:rsidR="0062450F" w:rsidRDefault="0062450F" w:rsidP="0062450F">
      <w:pPr>
        <w:bidi/>
        <w:ind w:left="26" w:firstLine="334"/>
        <w:jc w:val="both"/>
        <w:rPr>
          <w:rFonts w:ascii="Sakkal Majalla" w:hAnsi="Sakkal Majalla" w:cs="Sakkal Majalla"/>
          <w:sz w:val="36"/>
          <w:szCs w:val="36"/>
          <w:lang w:bidi="ar-DZ"/>
        </w:rPr>
      </w:pPr>
      <w:r>
        <w:rPr>
          <w:rFonts w:ascii="Sakkal Majalla" w:hAnsi="Sakkal Majalla" w:cs="Sakkal Majalla"/>
          <w:sz w:val="36"/>
          <w:szCs w:val="36"/>
          <w:rtl/>
          <w:lang w:bidi="ar-DZ"/>
        </w:rPr>
        <w:lastRenderedPageBreak/>
        <w:t>كما أن القياس الاستعمالي هو نفسه الذي يسعى المعلم إلى تدريب تلاميذه عليه وفي هذه يتم بحسب قاعدة حاضرة يتعلمها ولا يستنبطها لنفسه ومن طبيعة هذا القياس أن يفتح أمامنا بالنمط التركيبي الواحد جملا لا حصر لها مما يدل على القوة الإنتاجية للنحو، ويوضح أنه صناعة لا معرفة.</w:t>
      </w:r>
      <w:r>
        <w:rPr>
          <w:rStyle w:val="FootnoteReference"/>
          <w:rFonts w:ascii="Sakkal Majalla" w:hAnsi="Sakkal Majalla" w:cs="Sakkal Majalla"/>
          <w:sz w:val="36"/>
          <w:szCs w:val="36"/>
          <w:rtl/>
          <w:lang w:bidi="ar-DZ"/>
        </w:rPr>
        <w:footnoteReference w:id="3"/>
      </w:r>
      <w:r>
        <w:rPr>
          <w:rFonts w:ascii="Sakkal Majalla" w:hAnsi="Sakkal Majalla" w:cs="Sakkal Majalla"/>
          <w:sz w:val="36"/>
          <w:szCs w:val="36"/>
          <w:rtl/>
          <w:lang w:bidi="ar-DZ"/>
        </w:rPr>
        <w:t>وهو نفسه الذي يطبقه مجمع اللغة العربية في صوغ المصطلحات وألفاظ الحضارة لأن المبدأ الذي يحكم عمل الجميع في هذا الحقل هو القاعدة التوجيهية التي لخصها ابن جني (ما قيس على كلام العرب فهو من كلام العرب). ويضع أعضاء المجمع هذه الألفاظ ويصوغونها على مثال أشباهها عندهم.</w:t>
      </w:r>
    </w:p>
    <w:p w:rsidR="0062450F" w:rsidRDefault="0062450F" w:rsidP="0062450F">
      <w:pPr>
        <w:bidi/>
        <w:jc w:val="both"/>
        <w:rPr>
          <w:rFonts w:ascii="Sakkal Majalla" w:hAnsi="Sakkal Majalla" w:cs="Sakkal Majalla"/>
          <w:sz w:val="36"/>
          <w:szCs w:val="36"/>
          <w:lang w:bidi="ar-DZ"/>
        </w:rPr>
      </w:pPr>
      <w:r>
        <w:rPr>
          <w:rFonts w:ascii="Sakkal Majalla" w:hAnsi="Sakkal Majalla" w:cs="Sakkal Majalla"/>
          <w:sz w:val="36"/>
          <w:szCs w:val="36"/>
          <w:rtl/>
          <w:lang w:bidi="ar-DZ"/>
        </w:rPr>
        <w:t>أما القياس الثاني فهو القياس النحوي : وهو قياس الأحكام وإذا كان الأول هو الانتحاء، فإن الثاني هو النحو، وإذا كان الأول قياس الأنماط فهذا القياس الثاني قياس الأحكام، وإن كان الأول هو انتحاء فإن الثاني هو النحو.</w:t>
      </w:r>
      <w:r>
        <w:rPr>
          <w:rStyle w:val="FootnoteReference"/>
          <w:rFonts w:ascii="Sakkal Majalla" w:hAnsi="Sakkal Majalla" w:cs="Sakkal Majalla"/>
          <w:sz w:val="36"/>
          <w:szCs w:val="36"/>
          <w:rtl/>
          <w:lang w:bidi="ar-DZ"/>
        </w:rPr>
        <w:footnoteReference w:id="4"/>
      </w:r>
      <w:r>
        <w:rPr>
          <w:rFonts w:ascii="Sakkal Majalla" w:hAnsi="Sakkal Majalla" w:cs="Sakkal Majalla"/>
          <w:sz w:val="36"/>
          <w:szCs w:val="36"/>
          <w:rtl/>
          <w:lang w:bidi="ar-DZ"/>
        </w:rPr>
        <w:t xml:space="preserve"> وهو من مؤيّدي القياس ويسشتهد برأي الأنباري الذي يعترض فيه على منكري القياس (اعلم أن إنكار القياس في النحو لا يتحقق لأن النحو كله قياس)</w:t>
      </w:r>
      <w:r>
        <w:rPr>
          <w:rStyle w:val="FootnoteReference"/>
          <w:rFonts w:ascii="Sakkal Majalla" w:hAnsi="Sakkal Majalla" w:cs="Sakkal Majalla"/>
          <w:sz w:val="36"/>
          <w:szCs w:val="36"/>
          <w:rtl/>
          <w:lang w:bidi="ar-DZ"/>
        </w:rPr>
        <w:footnoteReference w:id="5"/>
      </w:r>
      <w:r>
        <w:rPr>
          <w:rFonts w:ascii="Sakkal Majalla" w:hAnsi="Sakkal Majalla" w:cs="Sakkal Majalla"/>
          <w:sz w:val="36"/>
          <w:szCs w:val="36"/>
          <w:rtl/>
          <w:lang w:bidi="ar-DZ"/>
        </w:rPr>
        <w:t>.</w:t>
      </w:r>
    </w:p>
    <w:p w:rsidR="0062450F" w:rsidRDefault="0062450F" w:rsidP="0062450F">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ويصل تمام حسام إلى نتيجتين في القياس </w:t>
      </w:r>
      <w:r>
        <w:rPr>
          <w:rStyle w:val="FootnoteReference"/>
          <w:rFonts w:ascii="Sakkal Majalla" w:hAnsi="Sakkal Majalla" w:cs="Sakkal Majalla"/>
          <w:sz w:val="36"/>
          <w:szCs w:val="36"/>
          <w:rtl/>
          <w:lang w:bidi="ar-DZ"/>
        </w:rPr>
        <w:footnoteReference w:id="6"/>
      </w:r>
      <w:r>
        <w:rPr>
          <w:rFonts w:ascii="Sakkal Majalla" w:hAnsi="Sakkal Majalla" w:cs="Sakkal Majalla"/>
          <w:sz w:val="36"/>
          <w:szCs w:val="36"/>
          <w:rtl/>
          <w:lang w:bidi="ar-DZ"/>
        </w:rPr>
        <w:t xml:space="preserve">: </w:t>
      </w:r>
    </w:p>
    <w:p w:rsidR="0062450F" w:rsidRDefault="0062450F" w:rsidP="0062450F">
      <w:pPr>
        <w:bidi/>
        <w:jc w:val="both"/>
        <w:rPr>
          <w:rFonts w:ascii="Sakkal Majalla" w:hAnsi="Sakkal Majalla" w:cs="Sakkal Majalla"/>
          <w:sz w:val="36"/>
          <w:szCs w:val="36"/>
          <w:lang w:bidi="ar-DZ"/>
        </w:rPr>
      </w:pPr>
      <w:r>
        <w:rPr>
          <w:rFonts w:ascii="Sakkal Majalla" w:hAnsi="Sakkal Majalla" w:cs="Sakkal Majalla"/>
          <w:sz w:val="36"/>
          <w:szCs w:val="36"/>
          <w:rtl/>
          <w:lang w:bidi="ar-DZ"/>
        </w:rPr>
        <w:t>أ- القياس هو الجانب التطبيقي لمبدأ الحتمية الذي يجبر (النقص) في الاستقراء الناقص.</w:t>
      </w:r>
    </w:p>
    <w:p w:rsidR="0062450F" w:rsidRDefault="0062450F" w:rsidP="0062450F">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ب- أن القياس كالمجاز اللغوي بحاجة إلى علاقة تربط بين طرفين إما أن تكون عقلية (المجاز المرسل) أو تخييلية (الاستعارة )؛ فالعلاقة العقلية في القياس قد </w:t>
      </w:r>
      <w:r>
        <w:rPr>
          <w:rFonts w:ascii="Sakkal Majalla" w:hAnsi="Sakkal Majalla" w:cs="Sakkal Majalla"/>
          <w:sz w:val="36"/>
          <w:szCs w:val="36"/>
          <w:rtl/>
          <w:lang w:bidi="ar-DZ"/>
        </w:rPr>
        <w:lastRenderedPageBreak/>
        <w:t>تكون (مناسبة ) العلة أو (اطراد) الحكم والعلاقة التخييلية إنما تكون هي الشبه بين المقيس والمقيس عليه.</w:t>
      </w:r>
    </w:p>
    <w:p w:rsidR="0062450F" w:rsidRDefault="0062450F" w:rsidP="0062450F">
      <w:pPr>
        <w:bidi/>
        <w:jc w:val="both"/>
        <w:rPr>
          <w:rFonts w:ascii="Sakkal Majalla" w:hAnsi="Sakkal Majalla" w:cs="Sakkal Majalla"/>
          <w:sz w:val="36"/>
          <w:szCs w:val="36"/>
          <w:lang w:bidi="ar-DZ"/>
        </w:rPr>
      </w:pPr>
      <w:r>
        <w:rPr>
          <w:rFonts w:ascii="Sakkal Majalla" w:hAnsi="Sakkal Majalla" w:cs="Sakkal Majalla"/>
          <w:b/>
          <w:bCs/>
          <w:sz w:val="36"/>
          <w:szCs w:val="36"/>
          <w:lang w:bidi="ar-DZ"/>
        </w:rPr>
        <w:t>2</w:t>
      </w:r>
      <w:r>
        <w:rPr>
          <w:rFonts w:ascii="Sakkal Majalla" w:hAnsi="Sakkal Majalla" w:cs="Sakkal Majalla"/>
          <w:b/>
          <w:bCs/>
          <w:sz w:val="36"/>
          <w:szCs w:val="36"/>
          <w:rtl/>
          <w:lang w:bidi="ar-DZ"/>
        </w:rPr>
        <w:t>- القياس عند محمد عيد:</w:t>
      </w:r>
    </w:p>
    <w:p w:rsidR="0062450F" w:rsidRDefault="0062450F" w:rsidP="0062450F">
      <w:pPr>
        <w:bidi/>
        <w:jc w:val="both"/>
        <w:rPr>
          <w:rFonts w:ascii="Sakkal Majalla" w:hAnsi="Sakkal Majalla" w:cs="Sakkal Majalla"/>
          <w:sz w:val="36"/>
          <w:szCs w:val="36"/>
          <w:lang w:bidi="ar-DZ"/>
        </w:rPr>
      </w:pPr>
      <w:r>
        <w:rPr>
          <w:rFonts w:ascii="Sakkal Majalla" w:hAnsi="Sakkal Majalla" w:cs="Sakkal Majalla"/>
          <w:sz w:val="36"/>
          <w:szCs w:val="36"/>
          <w:rtl/>
          <w:lang w:bidi="ar-DZ"/>
        </w:rPr>
        <w:t>حاول محمد عيد في كتابه أصول النحو العربي في نظر النحاة ورأي اين مضاء القرطبي أن يؤكد صلة القياس النحوي الذي عرفته البيئة العربية في نصف القرن الثاني للهجرة بالثقافة الأجنبية الإغريقية، وقد جعلته بعض الاستنتاجات يقرّ بذلك، وتتمثل في أن (ابن أبي اسحاق وعيسى بن عمر الذي عرف بهما القياس قد عاشا في النصف الأول من القرن الثاني، وهو عصر بداية العلوم بمعناها المنظم وقد شاعت العلوم الإغريقية ومنها المنطق، ثم ان ابن ابي إسحاق بذهن ناقد ونظر ثاقب وعقل قوي يقول "محمد عيد"أن هذه الأمور إذا وضعت متجاورة و أن من نسب له القياس كان له استعداد ذهني للنظر والقياس، وأنه وجد في عصر تقدمت فيه العلوم الإغريقية وأنه كان أحد الموالي (يعني ليس بعربي قح)، فإنها تشير إلى أن منشأ الفكرة هو المنطق اليوناني والنحو السريالي: فالمنطق في ذلك الوقت كان أهم ما عرف عن أرسطو، والقياس أحد أبحاث المنطق الرئيسية )</w:t>
      </w:r>
      <w:r>
        <w:rPr>
          <w:rStyle w:val="FootnoteReference"/>
          <w:rFonts w:ascii="Sakkal Majalla" w:hAnsi="Sakkal Majalla" w:cs="Sakkal Majalla"/>
          <w:sz w:val="36"/>
          <w:szCs w:val="36"/>
          <w:rtl/>
          <w:lang w:bidi="ar-DZ"/>
        </w:rPr>
        <w:footnoteReference w:id="7"/>
      </w:r>
      <w:r>
        <w:rPr>
          <w:rFonts w:ascii="Sakkal Majalla" w:hAnsi="Sakkal Majalla" w:cs="Sakkal Majalla"/>
          <w:sz w:val="36"/>
          <w:szCs w:val="36"/>
          <w:rtl/>
          <w:lang w:bidi="ar-DZ"/>
        </w:rPr>
        <w:t>.</w:t>
      </w:r>
    </w:p>
    <w:p w:rsidR="0062450F" w:rsidRDefault="0062450F" w:rsidP="0062450F">
      <w:pPr>
        <w:bidi/>
        <w:jc w:val="both"/>
        <w:rPr>
          <w:rFonts w:ascii="Sakkal Majalla" w:hAnsi="Sakkal Majalla" w:cs="Sakkal Majalla"/>
          <w:sz w:val="36"/>
          <w:szCs w:val="36"/>
          <w:lang w:bidi="ar-DZ"/>
        </w:rPr>
      </w:pPr>
      <w:r>
        <w:rPr>
          <w:rFonts w:ascii="Sakkal Majalla" w:hAnsi="Sakkal Majalla" w:cs="Sakkal Majalla"/>
          <w:sz w:val="36"/>
          <w:szCs w:val="36"/>
          <w:rtl/>
          <w:lang w:bidi="ar-DZ"/>
        </w:rPr>
        <w:t>كما حاول محمد عيد إظهار الاضطراب الذي وقع عند النحاة وهم يتناولون مسألة القياس و الاحتجاج به، حيث يثبته البعض وينفيه البعض أحيانا ، ويرى بعضهم الشاهد اللغوي الواحد قياسا و يرى الآخر أنه ليس كذلك، وقد يوجه الشاهد الواحد توجيهات عديدة، وقد تتعارض وقد تختلف.</w:t>
      </w:r>
      <w:r>
        <w:rPr>
          <w:rStyle w:val="FootnoteReference"/>
          <w:rFonts w:ascii="Sakkal Majalla" w:hAnsi="Sakkal Majalla" w:cs="Sakkal Majalla"/>
          <w:sz w:val="36"/>
          <w:szCs w:val="36"/>
          <w:rtl/>
          <w:lang w:bidi="ar-DZ"/>
        </w:rPr>
        <w:footnoteReference w:id="8"/>
      </w:r>
    </w:p>
    <w:p w:rsidR="0062450F" w:rsidRDefault="0062450F" w:rsidP="0062450F">
      <w:pPr>
        <w:bidi/>
        <w:jc w:val="both"/>
        <w:rPr>
          <w:rFonts w:ascii="Sakkal Majalla" w:hAnsi="Sakkal Majalla" w:cs="Sakkal Majalla"/>
          <w:sz w:val="36"/>
          <w:szCs w:val="36"/>
          <w:lang w:bidi="ar-DZ"/>
        </w:rPr>
      </w:pPr>
      <w:r>
        <w:rPr>
          <w:rFonts w:ascii="Sakkal Majalla" w:hAnsi="Sakkal Majalla" w:cs="Sakkal Majalla"/>
          <w:sz w:val="36"/>
          <w:szCs w:val="36"/>
          <w:rtl/>
          <w:lang w:bidi="ar-DZ"/>
        </w:rPr>
        <w:t>ومن أمثلة اضطراب النحاة في القياس:</w:t>
      </w:r>
      <w:r>
        <w:rPr>
          <w:rStyle w:val="FootnoteReference"/>
          <w:rFonts w:ascii="Sakkal Majalla" w:hAnsi="Sakkal Majalla" w:cs="Sakkal Majalla"/>
          <w:sz w:val="36"/>
          <w:szCs w:val="36"/>
          <w:rtl/>
          <w:lang w:bidi="ar-DZ"/>
        </w:rPr>
        <w:footnoteReference w:id="9"/>
      </w:r>
    </w:p>
    <w:p w:rsidR="0062450F" w:rsidRDefault="0062450F" w:rsidP="0062450F">
      <w:pPr>
        <w:pStyle w:val="Paragraphedeliste"/>
        <w:numPr>
          <w:ilvl w:val="0"/>
          <w:numId w:val="2"/>
        </w:numPr>
        <w:bidi/>
        <w:jc w:val="both"/>
        <w:rPr>
          <w:rFonts w:ascii="Sakkal Majalla" w:hAnsi="Sakkal Majalla" w:cs="Sakkal Majalla"/>
          <w:sz w:val="36"/>
          <w:szCs w:val="36"/>
          <w:lang w:bidi="ar-DZ"/>
        </w:rPr>
      </w:pPr>
      <w:r>
        <w:rPr>
          <w:rFonts w:ascii="Sakkal Majalla" w:hAnsi="Sakkal Majalla" w:cs="Sakkal Majalla"/>
          <w:sz w:val="36"/>
          <w:szCs w:val="36"/>
          <w:rtl/>
          <w:lang w:bidi="ar-DZ"/>
        </w:rPr>
        <w:lastRenderedPageBreak/>
        <w:t>ذهب الأخفش والمبرد والفراء إلى أن حذف عامل المصدر قياس في الدعاء، تقول (ضرباً له) و (قتلًا) و نحوه، و مذهب سيبويه أنه لا يقاس.</w:t>
      </w:r>
    </w:p>
    <w:p w:rsidR="0062450F" w:rsidRDefault="0062450F" w:rsidP="0062450F">
      <w:pPr>
        <w:pStyle w:val="Paragraphedeliste"/>
        <w:numPr>
          <w:ilvl w:val="0"/>
          <w:numId w:val="2"/>
        </w:numPr>
        <w:bidi/>
        <w:jc w:val="both"/>
        <w:rPr>
          <w:rFonts w:ascii="Sakkal Majalla" w:hAnsi="Sakkal Majalla" w:cs="Sakkal Majalla"/>
          <w:sz w:val="36"/>
          <w:szCs w:val="36"/>
          <w:lang w:bidi="ar-DZ"/>
        </w:rPr>
      </w:pPr>
      <w:r>
        <w:rPr>
          <w:rFonts w:ascii="Sakkal Majalla" w:hAnsi="Sakkal Majalla" w:cs="Sakkal Majalla"/>
          <w:sz w:val="36"/>
          <w:szCs w:val="36"/>
          <w:rtl/>
          <w:lang w:bidi="ar-DZ"/>
        </w:rPr>
        <w:t>ذهب ابن مالك إلى اختيار اتصال الضمير في باب (كان وخال) (كنتنيه)و(خلتنيه) وذلك أن الاتصال هو الأصل – وذهب سيبويه الى اختيار الانفصال وذلك أن الضمير خبر في الأصل وحق الخبر الانفصال».</w:t>
      </w:r>
    </w:p>
    <w:p w:rsidR="0062450F" w:rsidRDefault="0062450F" w:rsidP="0062450F">
      <w:pPr>
        <w:bidi/>
        <w:jc w:val="both"/>
        <w:rPr>
          <w:rFonts w:ascii="Sakkal Majalla" w:hAnsi="Sakkal Majalla" w:cs="Sakkal Majalla"/>
          <w:sz w:val="36"/>
          <w:szCs w:val="36"/>
          <w:lang w:bidi="ar-DZ"/>
        </w:rPr>
      </w:pPr>
      <w:r>
        <w:rPr>
          <w:rFonts w:ascii="Sakkal Majalla" w:hAnsi="Sakkal Majalla" w:cs="Sakkal Majalla"/>
          <w:sz w:val="36"/>
          <w:szCs w:val="36"/>
          <w:rtl/>
          <w:lang w:bidi="ar-DZ"/>
        </w:rPr>
        <w:t>و يلخص محمد عيد الاضطراب الحاصل في القياس أنه يصب في مجريين:</w:t>
      </w:r>
      <w:r>
        <w:rPr>
          <w:rStyle w:val="FootnoteReference"/>
          <w:rFonts w:ascii="Sakkal Majalla" w:hAnsi="Sakkal Majalla" w:cs="Sakkal Majalla"/>
          <w:sz w:val="36"/>
          <w:szCs w:val="36"/>
          <w:rtl/>
          <w:lang w:bidi="ar-DZ"/>
        </w:rPr>
        <w:footnoteReference w:id="10"/>
      </w:r>
    </w:p>
    <w:p w:rsidR="0062450F" w:rsidRDefault="0062450F" w:rsidP="0062450F">
      <w:pPr>
        <w:pStyle w:val="Paragraphedeliste"/>
        <w:numPr>
          <w:ilvl w:val="0"/>
          <w:numId w:val="3"/>
        </w:numPr>
        <w:bidi/>
        <w:jc w:val="both"/>
        <w:rPr>
          <w:rFonts w:ascii="Sakkal Majalla" w:hAnsi="Sakkal Majalla" w:cs="Sakkal Majalla"/>
          <w:sz w:val="36"/>
          <w:szCs w:val="36"/>
          <w:lang w:bidi="ar-DZ"/>
        </w:rPr>
      </w:pPr>
      <w:r>
        <w:rPr>
          <w:rFonts w:ascii="Sakkal Majalla" w:hAnsi="Sakkal Majalla" w:cs="Sakkal Majalla"/>
          <w:sz w:val="36"/>
          <w:szCs w:val="36"/>
          <w:rtl/>
          <w:lang w:bidi="ar-DZ"/>
        </w:rPr>
        <w:t>وجود قياس واحد لا تؤيده النصوص المسموعة، وفي هذه الحالة ينكره بعض النحاة مستدلين بتلك النصوص.</w:t>
      </w:r>
    </w:p>
    <w:p w:rsidR="0062450F" w:rsidRDefault="0062450F" w:rsidP="0062450F">
      <w:pPr>
        <w:pStyle w:val="Paragraphedeliste"/>
        <w:numPr>
          <w:ilvl w:val="0"/>
          <w:numId w:val="3"/>
        </w:numPr>
        <w:bidi/>
        <w:jc w:val="both"/>
        <w:rPr>
          <w:rFonts w:ascii="Sakkal Majalla" w:hAnsi="Sakkal Majalla" w:cs="Sakkal Majalla"/>
          <w:sz w:val="36"/>
          <w:szCs w:val="36"/>
          <w:lang w:bidi="ar-DZ"/>
        </w:rPr>
      </w:pPr>
      <w:r>
        <w:rPr>
          <w:rFonts w:ascii="Sakkal Majalla" w:hAnsi="Sakkal Majalla" w:cs="Sakkal Majalla"/>
          <w:sz w:val="36"/>
          <w:szCs w:val="36"/>
          <w:rtl/>
          <w:lang w:bidi="ar-DZ"/>
        </w:rPr>
        <w:t>تعارض الأقيسة، بأن يكون للأمر الواحد قياسان أو أكثر وتختلف نظرة النحاة لكل قياس منها، وكلها صحيحة في نظرهم، ويذكر محمد عيد كذلك أسباب اضطراب القياس (الكمية) فلم تحدد كمية المقيس عليه؛ حيث نجد مصطلحات كثيرة (المطرد، الغالب الكثير الشائع، القليل، النادر، الشاذ، المسموع )؛ فلم يحدد النحاة بدقة معاني هذه المصطلحات</w:t>
      </w:r>
      <w:r>
        <w:rPr>
          <w:rStyle w:val="FootnoteReference"/>
          <w:rFonts w:ascii="Sakkal Majalla" w:hAnsi="Sakkal Majalla" w:cs="Sakkal Majalla"/>
          <w:sz w:val="36"/>
          <w:szCs w:val="36"/>
          <w:rtl/>
          <w:lang w:bidi="ar-DZ"/>
        </w:rPr>
        <w:footnoteReference w:id="11"/>
      </w:r>
      <w:r>
        <w:rPr>
          <w:rFonts w:ascii="Sakkal Majalla" w:hAnsi="Sakkal Majalla" w:cs="Sakkal Majalla"/>
          <w:sz w:val="36"/>
          <w:szCs w:val="36"/>
          <w:rtl/>
          <w:lang w:bidi="ar-DZ"/>
        </w:rPr>
        <w:t>.</w:t>
      </w:r>
    </w:p>
    <w:p w:rsidR="0062450F" w:rsidRDefault="0062450F" w:rsidP="0062450F">
      <w:pPr>
        <w:pStyle w:val="Paragraphedeliste"/>
        <w:numPr>
          <w:ilvl w:val="0"/>
          <w:numId w:val="3"/>
        </w:num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التحديد الزماني والمكاني للنصوص اللغوية : فقد كانت للنحاة وجهة نظر في القياس على لغات القبائل: </w:t>
      </w:r>
    </w:p>
    <w:p w:rsidR="0062450F" w:rsidRDefault="0062450F" w:rsidP="0062450F">
      <w:pPr>
        <w:pStyle w:val="Paragraphedeliste"/>
        <w:numPr>
          <w:ilvl w:val="0"/>
          <w:numId w:val="4"/>
        </w:numPr>
        <w:bidi/>
        <w:jc w:val="both"/>
        <w:rPr>
          <w:rFonts w:ascii="Sakkal Majalla" w:hAnsi="Sakkal Majalla" w:cs="Sakkal Majalla"/>
          <w:sz w:val="36"/>
          <w:szCs w:val="36"/>
          <w:lang w:bidi="ar-DZ"/>
        </w:rPr>
      </w:pPr>
      <w:r>
        <w:rPr>
          <w:rFonts w:ascii="Sakkal Majalla" w:hAnsi="Sakkal Majalla" w:cs="Sakkal Majalla"/>
          <w:sz w:val="36"/>
          <w:szCs w:val="36"/>
          <w:rtl/>
          <w:lang w:bidi="ar-DZ"/>
        </w:rPr>
        <w:t>لغات جميع القبائل الموثقة يمكن القياس عليها، فكل ما يرد عن أية قبيلة يمكن قبوله والقياس عليه.</w:t>
      </w:r>
    </w:p>
    <w:p w:rsidR="0062450F" w:rsidRDefault="0062450F" w:rsidP="0062450F">
      <w:pPr>
        <w:pStyle w:val="Paragraphedeliste"/>
        <w:numPr>
          <w:ilvl w:val="0"/>
          <w:numId w:val="4"/>
        </w:numPr>
        <w:bidi/>
        <w:jc w:val="both"/>
        <w:rPr>
          <w:rFonts w:ascii="Sakkal Majalla" w:hAnsi="Sakkal Majalla" w:cs="Sakkal Majalla"/>
          <w:sz w:val="36"/>
          <w:szCs w:val="36"/>
          <w:lang w:bidi="ar-DZ"/>
        </w:rPr>
      </w:pPr>
      <w:r>
        <w:rPr>
          <w:rFonts w:ascii="Sakkal Majalla" w:hAnsi="Sakkal Majalla" w:cs="Sakkal Majalla"/>
          <w:sz w:val="36"/>
          <w:szCs w:val="36"/>
          <w:rtl/>
          <w:lang w:bidi="ar-DZ"/>
        </w:rPr>
        <w:t>يصح أن يكون لدينا قياس أو أكثر ما دام قد ورد ما يؤيد ذلك عن قبيلتين أو قبائل في درجة واحدة من الشهرة.</w:t>
      </w:r>
    </w:p>
    <w:p w:rsidR="0062450F" w:rsidRDefault="0062450F" w:rsidP="0062450F">
      <w:pPr>
        <w:pStyle w:val="Paragraphedeliste"/>
        <w:numPr>
          <w:ilvl w:val="0"/>
          <w:numId w:val="4"/>
        </w:numPr>
        <w:bidi/>
        <w:jc w:val="both"/>
        <w:rPr>
          <w:rFonts w:ascii="Sakkal Majalla" w:hAnsi="Sakkal Majalla" w:cs="Sakkal Majalla"/>
          <w:sz w:val="36"/>
          <w:szCs w:val="36"/>
          <w:lang w:bidi="ar-DZ"/>
        </w:rPr>
      </w:pPr>
      <w:r>
        <w:rPr>
          <w:rFonts w:ascii="Sakkal Majalla" w:hAnsi="Sakkal Majalla" w:cs="Sakkal Majalla"/>
          <w:sz w:val="36"/>
          <w:szCs w:val="36"/>
          <w:rtl/>
          <w:lang w:bidi="ar-DZ"/>
        </w:rPr>
        <w:lastRenderedPageBreak/>
        <w:t>يكون لدينا قياس واحد إذا ورد عن قبيلة شهيرة، بالفصاحة ولا قيمة لغيرها. »</w:t>
      </w:r>
      <w:r>
        <w:rPr>
          <w:rStyle w:val="FootnoteReference"/>
          <w:rFonts w:ascii="Sakkal Majalla" w:hAnsi="Sakkal Majalla" w:cs="Sakkal Majalla"/>
          <w:sz w:val="36"/>
          <w:szCs w:val="36"/>
          <w:rtl/>
          <w:lang w:bidi="ar-DZ"/>
        </w:rPr>
        <w:footnoteReference w:id="12"/>
      </w:r>
    </w:p>
    <w:p w:rsidR="0062450F" w:rsidRDefault="0062450F" w:rsidP="0062450F">
      <w:pPr>
        <w:bidi/>
        <w:jc w:val="both"/>
        <w:rPr>
          <w:rFonts w:ascii="Sakkal Majalla" w:hAnsi="Sakkal Majalla" w:cs="Sakkal Majalla"/>
          <w:b/>
          <w:bCs/>
          <w:sz w:val="36"/>
          <w:szCs w:val="36"/>
          <w:lang w:bidi="ar-DZ"/>
        </w:rPr>
      </w:pPr>
      <w:r>
        <w:rPr>
          <w:rFonts w:ascii="Sakkal Majalla" w:hAnsi="Sakkal Majalla" w:cs="Sakkal Majalla"/>
          <w:b/>
          <w:bCs/>
          <w:sz w:val="36"/>
          <w:szCs w:val="36"/>
          <w:lang w:bidi="ar-DZ"/>
        </w:rPr>
        <w:t>3</w:t>
      </w:r>
      <w:r>
        <w:rPr>
          <w:rFonts w:ascii="Sakkal Majalla" w:hAnsi="Sakkal Majalla" w:cs="Sakkal Majalla"/>
          <w:b/>
          <w:bCs/>
          <w:sz w:val="36"/>
          <w:szCs w:val="36"/>
          <w:rtl/>
          <w:lang w:bidi="ar-DZ"/>
        </w:rPr>
        <w:t>-القياس عند سعيد الأفغاني:</w:t>
      </w:r>
    </w:p>
    <w:p w:rsidR="0062450F" w:rsidRDefault="0062450F" w:rsidP="0062450F">
      <w:pPr>
        <w:bidi/>
        <w:jc w:val="both"/>
        <w:rPr>
          <w:rFonts w:ascii="Sakkal Majalla" w:hAnsi="Sakkal Majalla" w:cs="Sakkal Majalla"/>
          <w:sz w:val="36"/>
          <w:szCs w:val="36"/>
          <w:lang w:bidi="ar-DZ"/>
        </w:rPr>
      </w:pPr>
      <w:r>
        <w:rPr>
          <w:rFonts w:ascii="Sakkal Majalla" w:hAnsi="Sakkal Majalla" w:cs="Sakkal Majalla"/>
          <w:sz w:val="36"/>
          <w:szCs w:val="36"/>
          <w:rtl/>
          <w:lang w:bidi="ar-DZ"/>
        </w:rPr>
        <w:t>تحدث سعيد الأفغاني عن تاريخ القياس والقياسيين، وأثر العلوم الدينية فيه، ثم أحكام القياس، والقياس عند المعاصرين، يستشهد سعيد الأفغاني بقول ابن جني في أنه وضع علم أصول النحو على غرار علم أصول الفقه، يقول ابن جني: "ينتزع أصحابنا العلل من كتب محمد بن الحسين الشيباني صاحب ابي حنيفة"</w:t>
      </w:r>
      <w:r>
        <w:rPr>
          <w:rStyle w:val="FootnoteReference"/>
          <w:rFonts w:ascii="Sakkal Majalla" w:hAnsi="Sakkal Majalla" w:cs="Sakkal Majalla"/>
          <w:sz w:val="36"/>
          <w:szCs w:val="36"/>
          <w:rtl/>
          <w:lang w:bidi="ar-DZ"/>
        </w:rPr>
        <w:footnoteReference w:id="13"/>
      </w:r>
      <w:r>
        <w:rPr>
          <w:rFonts w:ascii="Sakkal Majalla" w:hAnsi="Sakkal Majalla" w:cs="Sakkal Majalla"/>
          <w:sz w:val="36"/>
          <w:szCs w:val="36"/>
          <w:rtl/>
          <w:lang w:bidi="ar-DZ"/>
        </w:rPr>
        <w:t>، كما يستشهد بما جاء ابن الانباري في تعريفه للقياس، وكذلك ما جاء به السيوطي.</w:t>
      </w:r>
      <w:r>
        <w:rPr>
          <w:rStyle w:val="FootnoteReference"/>
          <w:rFonts w:ascii="Sakkal Majalla" w:hAnsi="Sakkal Majalla" w:cs="Sakkal Majalla"/>
          <w:sz w:val="36"/>
          <w:szCs w:val="36"/>
          <w:rtl/>
          <w:lang w:bidi="ar-DZ"/>
        </w:rPr>
        <w:footnoteReference w:id="14"/>
      </w:r>
    </w:p>
    <w:p w:rsidR="0062450F" w:rsidRDefault="0062450F" w:rsidP="0062450F">
      <w:pPr>
        <w:pStyle w:val="Paragraphedeliste"/>
        <w:numPr>
          <w:ilvl w:val="0"/>
          <w:numId w:val="3"/>
        </w:numPr>
        <w:bidi/>
        <w:jc w:val="both"/>
        <w:rPr>
          <w:rFonts w:ascii="Sakkal Majalla" w:hAnsi="Sakkal Majalla" w:cs="Sakkal Majalla"/>
          <w:sz w:val="36"/>
          <w:szCs w:val="36"/>
          <w:lang w:bidi="ar-DZ"/>
        </w:rPr>
      </w:pPr>
      <w:r>
        <w:rPr>
          <w:rFonts w:ascii="Sakkal Majalla" w:hAnsi="Sakkal Majalla" w:cs="Sakkal Majalla"/>
          <w:sz w:val="36"/>
          <w:szCs w:val="36"/>
          <w:rtl/>
          <w:lang w:bidi="ar-DZ"/>
        </w:rPr>
        <w:t>فأخذوا عنهم مصطلحاته ومنهجه، فقد احتذى علماء العربية طريق المحدثين من حيث العناية بالسند و رجاله وتجريحهم وتعديلهم، وطرق تحمل اللغة.</w:t>
      </w:r>
      <w:r>
        <w:rPr>
          <w:rStyle w:val="FootnoteReference"/>
          <w:rFonts w:ascii="Sakkal Majalla" w:hAnsi="Sakkal Majalla" w:cs="Sakkal Majalla"/>
          <w:sz w:val="36"/>
          <w:szCs w:val="36"/>
          <w:rtl/>
          <w:lang w:bidi="ar-DZ"/>
        </w:rPr>
        <w:footnoteReference w:id="15"/>
      </w:r>
    </w:p>
    <w:p w:rsidR="0062450F" w:rsidRDefault="0062450F" w:rsidP="0062450F">
      <w:pPr>
        <w:bidi/>
        <w:ind w:left="360"/>
        <w:jc w:val="both"/>
        <w:rPr>
          <w:rFonts w:ascii="Sakkal Majalla" w:hAnsi="Sakkal Majalla" w:cs="Sakkal Majalla"/>
          <w:sz w:val="36"/>
          <w:szCs w:val="36"/>
          <w:lang w:bidi="ar-DZ"/>
        </w:rPr>
      </w:pPr>
      <w:r>
        <w:rPr>
          <w:rFonts w:ascii="Sakkal Majalla" w:hAnsi="Sakkal Majalla" w:cs="Sakkal Majalla"/>
          <w:sz w:val="36"/>
          <w:szCs w:val="36"/>
          <w:rtl/>
          <w:lang w:bidi="ar-DZ"/>
        </w:rPr>
        <w:t>يقول سعيد الأفغاني أن القياس بدأ يتراجع بعد الفارسي وابن جني، وغلب على علوم اللغة الجمود، إلى غاية عصر النهضة، حيث كثرت الصحف والمجلات والمؤلفات واحتاجوا إلى فيض من المصطلحات يعبرون بها فكانوا إزاء حاجات العصر الحديث، فكان في مصر محاولات لتأسيس مجامع لغوية تسهر على سلامة الفصحى وتمدها بما تستطيع، والمجمع العلمي العربي على سلامة الفصحى وتمدها بما تستطيع، والمجمع العلمي العربي بدمشق الذي انصرف الى إصلاح لغة الدواوين والصحف، والكتب المدرسية»</w:t>
      </w:r>
      <w:r>
        <w:rPr>
          <w:rStyle w:val="FootnoteReference"/>
          <w:rFonts w:ascii="Sakkal Majalla" w:hAnsi="Sakkal Majalla" w:cs="Sakkal Majalla"/>
          <w:sz w:val="36"/>
          <w:szCs w:val="36"/>
          <w:rtl/>
          <w:lang w:bidi="ar-DZ"/>
        </w:rPr>
        <w:footnoteReference w:id="16"/>
      </w:r>
      <w:r>
        <w:rPr>
          <w:rFonts w:ascii="Sakkal Majalla" w:hAnsi="Sakkal Majalla" w:cs="Sakkal Majalla"/>
          <w:sz w:val="36"/>
          <w:szCs w:val="36"/>
          <w:rtl/>
          <w:lang w:bidi="ar-DZ"/>
        </w:rPr>
        <w:t xml:space="preserve">، عالجت المجامع اللغوية </w:t>
      </w:r>
      <w:r>
        <w:rPr>
          <w:rFonts w:ascii="Sakkal Majalla" w:hAnsi="Sakkal Majalla" w:cs="Sakkal Majalla"/>
          <w:sz w:val="36"/>
          <w:szCs w:val="36"/>
          <w:rtl/>
          <w:lang w:bidi="ar-DZ"/>
        </w:rPr>
        <w:lastRenderedPageBreak/>
        <w:t>قضية القياس في اللغة، فمثلا في قضية التضمين: أن يؤدي فعل أو ما في معناه مؤدى فعل آخر  أوما في معناه، فيعطى كلمة في التعدية او اللزوم.</w:t>
      </w:r>
    </w:p>
    <w:p w:rsidR="0062450F" w:rsidRDefault="0062450F" w:rsidP="0062450F">
      <w:pPr>
        <w:pStyle w:val="Paragraphedeliste"/>
        <w:numPr>
          <w:ilvl w:val="0"/>
          <w:numId w:val="3"/>
        </w:num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فمجمع اللغة العربية يرى أنه قياسي لا سماعي بشروط ثلاثة: </w:t>
      </w:r>
    </w:p>
    <w:p w:rsidR="0062450F" w:rsidRDefault="0062450F" w:rsidP="0062450F">
      <w:pPr>
        <w:bidi/>
        <w:ind w:left="720"/>
        <w:jc w:val="both"/>
        <w:rPr>
          <w:rFonts w:ascii="Sakkal Majalla" w:hAnsi="Sakkal Majalla" w:cs="Sakkal Majalla"/>
          <w:sz w:val="36"/>
          <w:szCs w:val="36"/>
          <w:lang w:bidi="ar-DZ"/>
        </w:rPr>
      </w:pPr>
      <w:r>
        <w:rPr>
          <w:rFonts w:ascii="Sakkal Majalla" w:hAnsi="Sakkal Majalla" w:cs="Sakkal Majalla"/>
          <w:sz w:val="36"/>
          <w:szCs w:val="36"/>
          <w:rtl/>
          <w:lang w:bidi="ar-DZ"/>
        </w:rPr>
        <w:t>- تحقق المناسبة بين الفعلين.</w:t>
      </w:r>
    </w:p>
    <w:p w:rsidR="0062450F" w:rsidRDefault="0062450F" w:rsidP="0062450F">
      <w:pPr>
        <w:bidi/>
        <w:ind w:left="720"/>
        <w:jc w:val="both"/>
        <w:rPr>
          <w:rFonts w:ascii="Sakkal Majalla" w:hAnsi="Sakkal Majalla" w:cs="Sakkal Majalla"/>
          <w:sz w:val="36"/>
          <w:szCs w:val="36"/>
          <w:lang w:bidi="ar-DZ"/>
        </w:rPr>
      </w:pPr>
      <w:r>
        <w:rPr>
          <w:rFonts w:ascii="Sakkal Majalla" w:hAnsi="Sakkal Majalla" w:cs="Sakkal Majalla"/>
          <w:sz w:val="36"/>
          <w:szCs w:val="36"/>
          <w:rtl/>
          <w:lang w:bidi="ar-DZ"/>
        </w:rPr>
        <w:t>- وجود قرينة تدل على ملاحظة الفعل الآخر و يؤمن معها اللبس</w:t>
      </w:r>
    </w:p>
    <w:p w:rsidR="0062450F" w:rsidRDefault="0062450F" w:rsidP="0062450F">
      <w:pPr>
        <w:bidi/>
        <w:ind w:left="720"/>
        <w:jc w:val="both"/>
        <w:rPr>
          <w:rFonts w:ascii="Sakkal Majalla" w:hAnsi="Sakkal Majalla" w:cs="Sakkal Majalla"/>
          <w:sz w:val="36"/>
          <w:szCs w:val="36"/>
          <w:lang w:bidi="ar-DZ"/>
        </w:rPr>
      </w:pPr>
      <w:r>
        <w:rPr>
          <w:rFonts w:ascii="Sakkal Majalla" w:hAnsi="Sakkal Majalla" w:cs="Sakkal Majalla"/>
          <w:sz w:val="36"/>
          <w:szCs w:val="36"/>
          <w:rtl/>
          <w:lang w:bidi="ar-DZ"/>
        </w:rPr>
        <w:t>- ملائمة التضمين للذوق العربي.</w:t>
      </w:r>
      <w:r>
        <w:rPr>
          <w:rStyle w:val="FootnoteReference"/>
          <w:rFonts w:ascii="Sakkal Majalla" w:hAnsi="Sakkal Majalla" w:cs="Sakkal Majalla"/>
          <w:sz w:val="36"/>
          <w:szCs w:val="36"/>
          <w:rtl/>
          <w:lang w:bidi="ar-DZ"/>
        </w:rPr>
        <w:footnoteReference w:id="17"/>
      </w:r>
    </w:p>
    <w:p w:rsidR="0062450F" w:rsidRDefault="0062450F" w:rsidP="0062450F">
      <w:pPr>
        <w:bidi/>
        <w:ind w:left="720"/>
        <w:jc w:val="both"/>
        <w:rPr>
          <w:rFonts w:ascii="Sakkal Majalla" w:hAnsi="Sakkal Majalla" w:cs="Sakkal Majalla"/>
          <w:sz w:val="36"/>
          <w:szCs w:val="36"/>
          <w:lang w:bidi="ar-DZ"/>
        </w:rPr>
      </w:pPr>
      <w:r>
        <w:rPr>
          <w:rFonts w:ascii="Sakkal Majalla" w:hAnsi="Sakkal Majalla" w:cs="Sakkal Majalla"/>
          <w:sz w:val="36"/>
          <w:szCs w:val="36"/>
          <w:rtl/>
          <w:lang w:bidi="ar-DZ"/>
        </w:rPr>
        <w:t>وفي قرار التعريب في المولد: قسم أجروا فيه على أقيسة كلام العرب، من مجاز واشتقاق، وقسم خرجوا فيه عن أقيسة كلام العرب إما باستعمال لفظ أعجمي لم تعرفه العرب، وإما بتحريف في اللفظ أو الدلالة لا يمكن معه التخريج على وجه صحيح، وإما بوضع اللفظ ارتجالا.</w:t>
      </w:r>
      <w:r>
        <w:rPr>
          <w:rStyle w:val="FootnoteReference"/>
          <w:rFonts w:ascii="Sakkal Majalla" w:hAnsi="Sakkal Majalla" w:cs="Sakkal Majalla"/>
          <w:sz w:val="36"/>
          <w:szCs w:val="36"/>
          <w:rtl/>
          <w:lang w:bidi="ar-DZ"/>
        </w:rPr>
        <w:footnoteReference w:id="18"/>
      </w:r>
    </w:p>
    <w:p w:rsidR="007625B2" w:rsidRPr="0062450F" w:rsidRDefault="007625B2" w:rsidP="0062450F">
      <w:pPr>
        <w:bidi/>
      </w:pPr>
    </w:p>
    <w:sectPr w:rsidR="007625B2" w:rsidRPr="0062450F" w:rsidSect="007625B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44E" w:rsidRDefault="00C8644E" w:rsidP="0062450F">
      <w:pPr>
        <w:spacing w:after="0" w:line="240" w:lineRule="auto"/>
      </w:pPr>
      <w:r>
        <w:separator/>
      </w:r>
    </w:p>
  </w:endnote>
  <w:endnote w:type="continuationSeparator" w:id="1">
    <w:p w:rsidR="00C8644E" w:rsidRDefault="00C8644E" w:rsidP="00624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44E" w:rsidRDefault="00C8644E" w:rsidP="0062450F">
      <w:pPr>
        <w:spacing w:after="0" w:line="240" w:lineRule="auto"/>
      </w:pPr>
      <w:r>
        <w:separator/>
      </w:r>
    </w:p>
  </w:footnote>
  <w:footnote w:type="continuationSeparator" w:id="1">
    <w:p w:rsidR="00C8644E" w:rsidRDefault="00C8644E" w:rsidP="0062450F">
      <w:pPr>
        <w:spacing w:after="0" w:line="240" w:lineRule="auto"/>
      </w:pPr>
      <w:r>
        <w:continuationSeparator/>
      </w:r>
    </w:p>
  </w:footnote>
  <w:footnote w:id="2">
    <w:p w:rsidR="0062450F" w:rsidRDefault="0062450F" w:rsidP="0062450F">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تمام حسان: الأصول دراسة ابستيمولوجية للفكر اللغوي عند العرب النحو، فقه اللغة البلاغة، عالم الكتب،  الاردن،</w:t>
      </w:r>
      <w:r>
        <w:rPr>
          <w:rFonts w:ascii="Traditional Arabic" w:hAnsi="Traditional Arabic" w:cs="Traditional Arabic"/>
          <w:sz w:val="28"/>
          <w:szCs w:val="28"/>
        </w:rPr>
        <w:t>2000</w:t>
      </w:r>
      <w:r>
        <w:rPr>
          <w:rFonts w:ascii="Traditional Arabic" w:hAnsi="Traditional Arabic" w:cs="Traditional Arabic"/>
          <w:sz w:val="28"/>
          <w:szCs w:val="28"/>
          <w:rtl/>
        </w:rPr>
        <w:t xml:space="preserve">،، ص </w:t>
      </w:r>
      <w:r>
        <w:rPr>
          <w:rFonts w:ascii="Traditional Arabic" w:hAnsi="Traditional Arabic" w:cs="Traditional Arabic"/>
          <w:sz w:val="28"/>
          <w:szCs w:val="28"/>
        </w:rPr>
        <w:t>151</w:t>
      </w:r>
    </w:p>
  </w:footnote>
  <w:footnote w:id="3">
    <w:p w:rsidR="0062450F" w:rsidRDefault="0062450F" w:rsidP="0062450F">
      <w:pPr>
        <w:pStyle w:val="FootnoteText"/>
        <w:bidi/>
        <w:rPr>
          <w:lang w:bidi="ar-DZ"/>
        </w:rPr>
      </w:pPr>
      <w:r>
        <w:rPr>
          <w:rStyle w:val="FootnoteCharacters"/>
        </w:rPr>
        <w:footnoteRef/>
      </w:r>
      <w:r>
        <w:rPr>
          <w:rFonts w:ascii="Traditional Arabic" w:hAnsi="Traditional Arabic" w:cs="Traditional Arabic"/>
          <w:sz w:val="28"/>
          <w:szCs w:val="28"/>
          <w:rtl/>
        </w:rPr>
        <w:t xml:space="preserve">تمام حسان ، الأصول، ص </w:t>
      </w:r>
      <w:r>
        <w:rPr>
          <w:rFonts w:ascii="Traditional Arabic" w:hAnsi="Traditional Arabic" w:cs="Traditional Arabic"/>
          <w:sz w:val="28"/>
          <w:szCs w:val="28"/>
        </w:rPr>
        <w:t>152</w:t>
      </w:r>
    </w:p>
  </w:footnote>
  <w:footnote w:id="4">
    <w:p w:rsidR="0062450F" w:rsidRDefault="0062450F" w:rsidP="0062450F">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المرجع نفسه ، ص </w:t>
      </w:r>
      <w:r>
        <w:rPr>
          <w:rFonts w:ascii="Traditional Arabic" w:hAnsi="Traditional Arabic" w:cs="Traditional Arabic"/>
          <w:sz w:val="28"/>
          <w:szCs w:val="28"/>
        </w:rPr>
        <w:t>154</w:t>
      </w:r>
    </w:p>
  </w:footnote>
  <w:footnote w:id="5">
    <w:p w:rsidR="0062450F" w:rsidRDefault="0062450F" w:rsidP="0062450F">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ابن الأنباري: لمع الادلة، ص </w:t>
      </w:r>
      <w:r>
        <w:rPr>
          <w:rFonts w:ascii="Traditional Arabic" w:hAnsi="Traditional Arabic" w:cs="Traditional Arabic"/>
          <w:sz w:val="28"/>
          <w:szCs w:val="28"/>
        </w:rPr>
        <w:t>95</w:t>
      </w:r>
    </w:p>
  </w:footnote>
  <w:footnote w:id="6">
    <w:p w:rsidR="0062450F" w:rsidRDefault="0062450F" w:rsidP="0062450F">
      <w:pPr>
        <w:pStyle w:val="FootnoteText"/>
        <w:bidi/>
        <w:rPr>
          <w:lang w:bidi="ar-DZ"/>
        </w:rPr>
      </w:pPr>
      <w:r>
        <w:rPr>
          <w:rStyle w:val="FootnoteCharacters"/>
        </w:rPr>
        <w:footnoteRef/>
      </w:r>
      <w:r>
        <w:rPr>
          <w:rFonts w:ascii="Traditional Arabic" w:hAnsi="Traditional Arabic" w:cs="Traditional Arabic"/>
          <w:sz w:val="28"/>
          <w:szCs w:val="28"/>
          <w:rtl/>
        </w:rPr>
        <w:t xml:space="preserve">تمام حسان: الأصول ، ص </w:t>
      </w:r>
      <w:r>
        <w:rPr>
          <w:rFonts w:ascii="Traditional Arabic" w:hAnsi="Traditional Arabic" w:cs="Traditional Arabic"/>
          <w:sz w:val="28"/>
          <w:szCs w:val="28"/>
        </w:rPr>
        <w:t>155</w:t>
      </w:r>
    </w:p>
  </w:footnote>
  <w:footnote w:id="7">
    <w:p w:rsidR="0062450F" w:rsidRDefault="0062450F" w:rsidP="0062450F">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محمد عيد :اصول النحو العربي في نظر النحاة و رأي ابن مضاء، عالم الكتب،الأردن، ط</w:t>
      </w:r>
      <w:r>
        <w:rPr>
          <w:rFonts w:ascii="Traditional Arabic" w:hAnsi="Traditional Arabic" w:cs="Traditional Arabic"/>
          <w:sz w:val="28"/>
          <w:szCs w:val="28"/>
        </w:rPr>
        <w:t>4</w:t>
      </w:r>
      <w:r>
        <w:rPr>
          <w:rFonts w:ascii="Traditional Arabic" w:hAnsi="Traditional Arabic" w:cs="Traditional Arabic"/>
          <w:sz w:val="28"/>
          <w:szCs w:val="28"/>
          <w:rtl/>
        </w:rPr>
        <w:t>،</w:t>
      </w:r>
      <w:r>
        <w:rPr>
          <w:rFonts w:ascii="Traditional Arabic" w:hAnsi="Traditional Arabic" w:cs="Traditional Arabic"/>
          <w:sz w:val="28"/>
          <w:szCs w:val="28"/>
        </w:rPr>
        <w:t>1989</w:t>
      </w:r>
      <w:r>
        <w:rPr>
          <w:rFonts w:ascii="Traditional Arabic" w:hAnsi="Traditional Arabic" w:cs="Traditional Arabic"/>
          <w:sz w:val="28"/>
          <w:szCs w:val="28"/>
          <w:rtl/>
        </w:rPr>
        <w:t xml:space="preserve">م، ص </w:t>
      </w:r>
      <w:r>
        <w:rPr>
          <w:rFonts w:ascii="Traditional Arabic" w:hAnsi="Traditional Arabic" w:cs="Traditional Arabic"/>
          <w:sz w:val="28"/>
          <w:szCs w:val="28"/>
        </w:rPr>
        <w:t>72</w:t>
      </w:r>
    </w:p>
  </w:footnote>
  <w:footnote w:id="8">
    <w:p w:rsidR="0062450F" w:rsidRDefault="0062450F" w:rsidP="0062450F">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اصول النحو العربي في نظر النحاة و رأي ابن مضاء ، ص </w:t>
      </w:r>
      <w:r>
        <w:rPr>
          <w:rFonts w:ascii="Traditional Arabic" w:hAnsi="Traditional Arabic" w:cs="Traditional Arabic"/>
          <w:sz w:val="28"/>
          <w:szCs w:val="28"/>
        </w:rPr>
        <w:t>73</w:t>
      </w:r>
    </w:p>
  </w:footnote>
  <w:footnote w:id="9">
    <w:p w:rsidR="0062450F" w:rsidRDefault="0062450F" w:rsidP="0062450F">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المرجع نفسه ، ص </w:t>
      </w:r>
      <w:r>
        <w:rPr>
          <w:rFonts w:ascii="Traditional Arabic" w:hAnsi="Traditional Arabic" w:cs="Traditional Arabic"/>
          <w:sz w:val="28"/>
          <w:szCs w:val="28"/>
        </w:rPr>
        <w:t>73</w:t>
      </w:r>
    </w:p>
  </w:footnote>
  <w:footnote w:id="10">
    <w:p w:rsidR="0062450F" w:rsidRDefault="0062450F" w:rsidP="0062450F">
      <w:pPr>
        <w:pStyle w:val="FootnoteText"/>
        <w:bidi/>
        <w:rPr>
          <w:sz w:val="24"/>
          <w:szCs w:val="24"/>
          <w:lang w:bidi="ar-DZ"/>
        </w:rPr>
      </w:pPr>
      <w:r>
        <w:rPr>
          <w:rStyle w:val="FootnoteCharacters"/>
        </w:rPr>
        <w:footnoteRef/>
      </w:r>
      <w:r>
        <w:rPr>
          <w:rFonts w:ascii="Traditional Arabic" w:hAnsi="Traditional Arabic" w:cs="Traditional Arabic"/>
          <w:sz w:val="28"/>
          <w:szCs w:val="28"/>
          <w:rtl/>
        </w:rPr>
        <w:t xml:space="preserve"> المرجع نفسه، ص</w:t>
      </w:r>
      <w:r>
        <w:rPr>
          <w:sz w:val="24"/>
          <w:szCs w:val="24"/>
        </w:rPr>
        <w:t>74</w:t>
      </w:r>
    </w:p>
  </w:footnote>
  <w:footnote w:id="11">
    <w:p w:rsidR="0062450F" w:rsidRDefault="0062450F" w:rsidP="0062450F">
      <w:pPr>
        <w:pStyle w:val="FootnoteText"/>
        <w:bidi/>
        <w:rPr>
          <w:rFonts w:ascii="Traditional Arabic" w:hAnsi="Traditional Arabic" w:cs="Traditional Arabic"/>
          <w:sz w:val="28"/>
          <w:szCs w:val="28"/>
        </w:rPr>
      </w:pPr>
      <w:r>
        <w:rPr>
          <w:rStyle w:val="FootnoteCharacters"/>
        </w:rPr>
        <w:footnoteRef/>
      </w:r>
      <w:r>
        <w:rPr>
          <w:rFonts w:ascii="Traditional Arabic" w:hAnsi="Traditional Arabic" w:cs="Traditional Arabic"/>
          <w:sz w:val="28"/>
          <w:szCs w:val="28"/>
          <w:rtl/>
        </w:rPr>
        <w:t xml:space="preserve">اصول النحو العربي في نظر النحاة و رأي ابن مضاء ، ص </w:t>
      </w:r>
      <w:r>
        <w:rPr>
          <w:rFonts w:ascii="Traditional Arabic" w:hAnsi="Traditional Arabic" w:cs="Traditional Arabic"/>
          <w:sz w:val="28"/>
          <w:szCs w:val="28"/>
        </w:rPr>
        <w:t>77</w:t>
      </w:r>
    </w:p>
  </w:footnote>
  <w:footnote w:id="12">
    <w:p w:rsidR="0062450F" w:rsidRDefault="0062450F" w:rsidP="0062450F">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محمد عيد: اصول النحو العربي في نظر النحاة و رأي ابن مضاء ، ص </w:t>
      </w:r>
      <w:r>
        <w:rPr>
          <w:rFonts w:ascii="Sakkal Majalla" w:hAnsi="Sakkal Majalla" w:cs="Sakkal Majalla"/>
          <w:sz w:val="28"/>
          <w:szCs w:val="28"/>
        </w:rPr>
        <w:t>79</w:t>
      </w:r>
    </w:p>
  </w:footnote>
  <w:footnote w:id="13">
    <w:p w:rsidR="0062450F" w:rsidRDefault="0062450F" w:rsidP="0062450F">
      <w:pPr>
        <w:pStyle w:val="FootnoteText"/>
        <w:bidi/>
        <w:rPr>
          <w:rFonts w:ascii="Traditional Arabic" w:hAnsi="Traditional Arabic" w:cs="Traditional Arabic"/>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سعيد الافغاني: في اصول النحو، ص </w:t>
      </w:r>
      <w:r>
        <w:rPr>
          <w:rFonts w:ascii="Sakkal Majalla" w:hAnsi="Sakkal Majalla" w:cs="Sakkal Majalla"/>
          <w:sz w:val="28"/>
          <w:szCs w:val="28"/>
        </w:rPr>
        <w:t>100</w:t>
      </w:r>
    </w:p>
  </w:footnote>
  <w:footnote w:id="14">
    <w:p w:rsidR="0062450F" w:rsidRDefault="0062450F" w:rsidP="0062450F">
      <w:pPr>
        <w:pStyle w:val="FootnoteText"/>
        <w:bidi/>
        <w:rPr>
          <w:rFonts w:ascii="Traditional Arabic" w:hAnsi="Traditional Arabic" w:cs="Traditional Arabic"/>
          <w:sz w:val="28"/>
          <w:szCs w:val="28"/>
          <w:lang w:bidi="ar-DZ"/>
        </w:rPr>
      </w:pPr>
      <w:r>
        <w:rPr>
          <w:rStyle w:val="FootnoteCharacters"/>
        </w:rPr>
        <w:footnoteRef/>
      </w:r>
      <w:r>
        <w:rPr>
          <w:rFonts w:ascii="Traditional Arabic" w:hAnsi="Traditional Arabic" w:cs="Traditional Arabic"/>
          <w:sz w:val="28"/>
          <w:szCs w:val="28"/>
          <w:rtl/>
        </w:rPr>
        <w:t xml:space="preserve">المرجع نفسه، ص </w:t>
      </w:r>
      <w:r>
        <w:rPr>
          <w:rFonts w:ascii="Traditional Arabic" w:hAnsi="Traditional Arabic" w:cs="Traditional Arabic"/>
          <w:sz w:val="28"/>
          <w:szCs w:val="28"/>
        </w:rPr>
        <w:t>101</w:t>
      </w:r>
    </w:p>
  </w:footnote>
  <w:footnote w:id="15">
    <w:p w:rsidR="0062450F" w:rsidRDefault="0062450F" w:rsidP="0062450F">
      <w:pPr>
        <w:pStyle w:val="FootnoteText"/>
        <w:bidi/>
        <w:rPr>
          <w:rFonts w:ascii="Sakkal Majalla" w:hAnsi="Sakkal Majalla" w:cs="Sakkal Majalla"/>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سعيد الافغاني: في اصول النحو ، ص </w:t>
      </w:r>
      <w:r>
        <w:rPr>
          <w:rFonts w:ascii="Sakkal Majalla" w:hAnsi="Sakkal Majalla" w:cs="Sakkal Majalla"/>
          <w:sz w:val="28"/>
          <w:szCs w:val="28"/>
        </w:rPr>
        <w:t>104</w:t>
      </w:r>
    </w:p>
  </w:footnote>
  <w:footnote w:id="16">
    <w:p w:rsidR="0062450F" w:rsidRDefault="0062450F" w:rsidP="0062450F">
      <w:pPr>
        <w:pStyle w:val="FootnoteText"/>
        <w:bidi/>
        <w:rPr>
          <w:rFonts w:ascii="Traditional Arabic" w:hAnsi="Traditional Arabic" w:cs="Traditional Arabic"/>
          <w:sz w:val="28"/>
          <w:szCs w:val="28"/>
          <w:lang w:bidi="ar-DZ"/>
        </w:rPr>
      </w:pPr>
      <w:r>
        <w:rPr>
          <w:rStyle w:val="FootnoteCharacters"/>
          <w:rFonts w:ascii="Sakkal Majalla" w:hAnsi="Sakkal Majalla" w:cs="Sakkal Majalla"/>
          <w:sz w:val="28"/>
          <w:szCs w:val="28"/>
        </w:rPr>
        <w:footnoteRef/>
      </w:r>
      <w:r>
        <w:rPr>
          <w:rFonts w:ascii="Sakkal Majalla" w:hAnsi="Sakkal Majalla" w:cs="Sakkal Majalla"/>
          <w:sz w:val="28"/>
          <w:szCs w:val="28"/>
          <w:rtl/>
        </w:rPr>
        <w:t xml:space="preserve">المرجع نفسه، ص </w:t>
      </w:r>
      <w:r>
        <w:rPr>
          <w:rFonts w:ascii="Sakkal Majalla" w:hAnsi="Sakkal Majalla" w:cs="Sakkal Majalla"/>
          <w:sz w:val="28"/>
          <w:szCs w:val="28"/>
        </w:rPr>
        <w:t>119</w:t>
      </w:r>
    </w:p>
  </w:footnote>
  <w:footnote w:id="17">
    <w:p w:rsidR="0062450F" w:rsidRDefault="0062450F" w:rsidP="0062450F">
      <w:pPr>
        <w:pStyle w:val="FootnoteText"/>
        <w:bidi/>
        <w:rPr>
          <w:sz w:val="24"/>
          <w:szCs w:val="24"/>
          <w:lang w:bidi="ar-DZ"/>
        </w:rPr>
      </w:pPr>
      <w:r>
        <w:rPr>
          <w:rStyle w:val="FootnoteCharacters"/>
        </w:rPr>
        <w:footnoteRef/>
      </w:r>
      <w:r>
        <w:rPr>
          <w:rFonts w:ascii="Traditional Arabic" w:hAnsi="Traditional Arabic" w:cs="Traditional Arabic"/>
          <w:sz w:val="28"/>
          <w:szCs w:val="28"/>
          <w:rtl/>
        </w:rPr>
        <w:t xml:space="preserve">سعيد الافغاني: في اصول النحو ، ص </w:t>
      </w:r>
      <w:r>
        <w:rPr>
          <w:rFonts w:ascii="Traditional Arabic" w:hAnsi="Traditional Arabic" w:cs="Traditional Arabic"/>
          <w:sz w:val="28"/>
          <w:szCs w:val="28"/>
        </w:rPr>
        <w:t>120</w:t>
      </w:r>
    </w:p>
  </w:footnote>
  <w:footnote w:id="18">
    <w:p w:rsidR="0062450F" w:rsidRDefault="0062450F" w:rsidP="0062450F">
      <w:pPr>
        <w:pStyle w:val="FootnoteText"/>
        <w:bidi/>
        <w:rPr>
          <w:lang w:bidi="ar-DZ"/>
        </w:rPr>
      </w:pPr>
      <w:r>
        <w:rPr>
          <w:rStyle w:val="FootnoteCharacters"/>
        </w:rPr>
        <w:footnoteRef/>
      </w:r>
      <w:r>
        <w:rPr>
          <w:rFonts w:ascii="Sakkal Majalla" w:hAnsi="Sakkal Majalla" w:cs="Sakkal Majalla"/>
          <w:sz w:val="28"/>
          <w:szCs w:val="28"/>
          <w:rtl/>
        </w:rPr>
        <w:t>سعيد الافغاني: في اصول النحو</w:t>
      </w:r>
      <w:r>
        <w:rPr>
          <w:rFonts w:ascii="Traditional Arabic" w:hAnsi="Traditional Arabic" w:cs="Traditional Arabic"/>
          <w:sz w:val="24"/>
          <w:szCs w:val="24"/>
          <w:rtl/>
        </w:rPr>
        <w:t xml:space="preserve"> ، ص</w:t>
      </w:r>
      <w:r>
        <w:rPr>
          <w:rFonts w:ascii="Traditional Arabic" w:hAnsi="Traditional Arabic" w:cs="Traditional Arabic"/>
          <w:sz w:val="24"/>
          <w:szCs w:val="24"/>
        </w:rPr>
        <w:t>123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42522"/>
    <w:multiLevelType w:val="multilevel"/>
    <w:tmpl w:val="83329FEA"/>
    <w:lvl w:ilvl="0">
      <w:start w:val="1"/>
      <w:numFmt w:val="decimal"/>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14B04A50"/>
    <w:multiLevelType w:val="multilevel"/>
    <w:tmpl w:val="257A1370"/>
    <w:lvl w:ilvl="0">
      <w:numFmt w:val="bullet"/>
      <w:lvlText w:val="-"/>
      <w:lvlJc w:val="left"/>
      <w:pPr>
        <w:tabs>
          <w:tab w:val="num" w:pos="0"/>
        </w:tabs>
        <w:ind w:left="720" w:hanging="360"/>
      </w:pPr>
      <w:rPr>
        <w:rFonts w:ascii="Traditional Arabic" w:eastAsiaTheme="minorHAnsi" w:hAnsi="Traditional Arabic" w:cs="Traditional Arabic" w:hint="default"/>
        <w:lang w:bidi="ar-DZ"/>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266944F3"/>
    <w:multiLevelType w:val="multilevel"/>
    <w:tmpl w:val="B87AA710"/>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9182B33"/>
    <w:multiLevelType w:val="multilevel"/>
    <w:tmpl w:val="0D6A1F10"/>
    <w:lvl w:ilvl="0">
      <w:start w:val="2"/>
      <w:numFmt w:val="bullet"/>
      <w:lvlText w:val=""/>
      <w:lvlJc w:val="left"/>
      <w:pPr>
        <w:tabs>
          <w:tab w:val="num" w:pos="0"/>
        </w:tabs>
        <w:ind w:left="360" w:hanging="360"/>
      </w:pPr>
      <w:rPr>
        <w:rFonts w:ascii="Symbol" w:eastAsiaTheme="minorHAnsi"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62450F"/>
    <w:rsid w:val="0062450F"/>
    <w:rsid w:val="007625B2"/>
    <w:rsid w:val="00C864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0F"/>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450F"/>
    <w:pPr>
      <w:ind w:left="720"/>
      <w:contextualSpacing/>
    </w:pPr>
  </w:style>
  <w:style w:type="character" w:customStyle="1" w:styleId="NotedebasdepageCar">
    <w:name w:val="Note de bas de page Car"/>
    <w:basedOn w:val="Policepardfaut"/>
    <w:link w:val="FootnoteText"/>
    <w:uiPriority w:val="99"/>
    <w:qFormat/>
    <w:locked/>
    <w:rsid w:val="0062450F"/>
    <w:rPr>
      <w:sz w:val="20"/>
      <w:szCs w:val="20"/>
    </w:rPr>
  </w:style>
  <w:style w:type="paragraph" w:customStyle="1" w:styleId="FootnoteText">
    <w:name w:val="Footnote Text"/>
    <w:basedOn w:val="Normal"/>
    <w:link w:val="NotedebasdepageCar"/>
    <w:uiPriority w:val="99"/>
    <w:rsid w:val="0062450F"/>
    <w:pPr>
      <w:spacing w:after="0" w:line="240" w:lineRule="auto"/>
    </w:pPr>
    <w:rPr>
      <w:sz w:val="20"/>
      <w:szCs w:val="20"/>
    </w:rPr>
  </w:style>
  <w:style w:type="character" w:customStyle="1" w:styleId="FootnoteCharacters">
    <w:name w:val="Footnote Characters"/>
    <w:basedOn w:val="Policepardfaut"/>
    <w:uiPriority w:val="99"/>
    <w:qFormat/>
    <w:rsid w:val="0062450F"/>
    <w:rPr>
      <w:vertAlign w:val="superscript"/>
    </w:rPr>
  </w:style>
  <w:style w:type="character" w:customStyle="1" w:styleId="FootnoteReference">
    <w:name w:val="Footnote Reference"/>
    <w:rsid w:val="0062450F"/>
    <w:rPr>
      <w:vertAlign w:val="superscript"/>
    </w:rPr>
  </w:style>
</w:styles>
</file>

<file path=word/webSettings.xml><?xml version="1.0" encoding="utf-8"?>
<w:webSettings xmlns:r="http://schemas.openxmlformats.org/officeDocument/2006/relationships" xmlns:w="http://schemas.openxmlformats.org/wordprocessingml/2006/main">
  <w:divs>
    <w:div w:id="14731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960</Words>
  <Characters>5282</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1</cp:revision>
  <dcterms:created xsi:type="dcterms:W3CDTF">2026-03-05T09:59:00Z</dcterms:created>
  <dcterms:modified xsi:type="dcterms:W3CDTF">2026-03-05T09:59:00Z</dcterms:modified>
</cp:coreProperties>
</file>