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AE" w:rsidRDefault="004413AE" w:rsidP="004413AE">
      <w:pPr>
        <w:bidi/>
        <w:jc w:val="center"/>
        <w:rPr>
          <w:rFonts w:ascii="Sakkal Majalla" w:hAnsi="Sakkal Majalla" w:cs="Sakkal Majalla"/>
          <w:b/>
          <w:bCs/>
          <w:sz w:val="36"/>
          <w:szCs w:val="36"/>
          <w:lang w:bidi="ar-DZ"/>
        </w:rPr>
      </w:pPr>
      <w:r>
        <w:rPr>
          <w:rFonts w:ascii="Sakkal Majalla" w:hAnsi="Sakkal Majalla" w:cs="Sakkal Majalla"/>
          <w:b/>
          <w:bCs/>
          <w:sz w:val="36"/>
          <w:szCs w:val="36"/>
          <w:rtl/>
          <w:lang w:bidi="ar-DZ"/>
        </w:rPr>
        <w:t>قواعد الاحتجاج اللغوي</w:t>
      </w:r>
    </w:p>
    <w:p w:rsidR="004413AE" w:rsidRDefault="004413AE" w:rsidP="004413AE">
      <w:p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تمهيد:</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يراد بالاحتجاج إثبات صحة قاعدة أو استعمال كلمة أو تركيب بدليل تقني صحّ سنده عن عربي فصيح سليم السليقة </w:t>
      </w:r>
      <w:r>
        <w:rPr>
          <w:rStyle w:val="FootnoteReference"/>
          <w:rFonts w:ascii="Sakkal Majalla" w:hAnsi="Sakkal Majalla" w:cs="Sakkal Majalla"/>
          <w:sz w:val="36"/>
          <w:szCs w:val="36"/>
          <w:rtl/>
          <w:lang w:bidi="ar-DZ"/>
        </w:rPr>
        <w:footnoteReference w:id="2"/>
      </w:r>
      <w:r>
        <w:rPr>
          <w:rFonts w:ascii="Sakkal Majalla" w:hAnsi="Sakkal Majalla" w:cs="Sakkal Majalla"/>
          <w:sz w:val="36"/>
          <w:szCs w:val="36"/>
          <w:rtl/>
          <w:lang w:bidi="ar-DZ"/>
        </w:rPr>
        <w:t>، والاحتجاج يعبر عن مرحلة متطورة من البحث اللغوي الذي عرفه العلماء بعد تفشي اللحن و ذيوع  وانتشار الخطأ والتحريف في ألسنة العامة والخاصة، فكان بذلك الباعث على جمع اللغة وتدوينها واستنباط القواعد منها وتعميمها.</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ولا يكون الاحتجاج إلا  بالكلام العربي الفصيح الذي ضبط شروطه ابن الأنباري فقال: «النقل هو الكلام العربي الفصيح المنقول بالنقل الصحيح الخارج عن حد القلة إلى الكثرة»</w:t>
      </w:r>
      <w:r>
        <w:rPr>
          <w:rStyle w:val="FootnoteReference"/>
          <w:rFonts w:ascii="Sakkal Majalla" w:hAnsi="Sakkal Majalla" w:cs="Sakkal Majalla"/>
          <w:sz w:val="36"/>
          <w:szCs w:val="36"/>
          <w:rtl/>
          <w:lang w:bidi="ar-DZ"/>
        </w:rPr>
        <w:footnoteReference w:id="3"/>
      </w:r>
      <w:r>
        <w:rPr>
          <w:rFonts w:ascii="Sakkal Majalla" w:hAnsi="Sakkal Majalla" w:cs="Sakkal Majalla"/>
          <w:sz w:val="36"/>
          <w:szCs w:val="36"/>
          <w:rtl/>
          <w:lang w:bidi="ar-DZ"/>
        </w:rPr>
        <w:t>، ويدخل في  الكلام العربي الفصيح القرآن الكريم بقراءاته، والحديث النبوي الشريف، وكلام العرب من شعر ونثر ، أما قوله المنقول بالنقل الصحيح فهي إشارة واضحة للمنهج المتبع في عملية النقل وشرط هذا الكلام المحتج به أن يكون  كثيرا مطردا  ومتواترا،  وألا يكون قليلا نادرا أو شاذا.</w:t>
      </w:r>
    </w:p>
    <w:p w:rsidR="004413AE" w:rsidRDefault="004413AE" w:rsidP="004413AE">
      <w:pPr>
        <w:pStyle w:val="Paragraphedeliste"/>
        <w:numPr>
          <w:ilvl w:val="0"/>
          <w:numId w:val="1"/>
        </w:numPr>
        <w:bidi/>
        <w:jc w:val="both"/>
        <w:rPr>
          <w:rFonts w:ascii="Sakkal Majalla" w:hAnsi="Sakkal Majalla" w:cs="Sakkal Majalla"/>
          <w:sz w:val="36"/>
          <w:szCs w:val="36"/>
          <w:lang w:bidi="ar-DZ"/>
        </w:rPr>
      </w:pPr>
      <w:r>
        <w:rPr>
          <w:rFonts w:ascii="Sakkal Majalla" w:hAnsi="Sakkal Majalla" w:cs="Sakkal Majalla"/>
          <w:b/>
          <w:bCs/>
          <w:sz w:val="36"/>
          <w:szCs w:val="36"/>
          <w:rtl/>
          <w:lang w:bidi="ar-DZ"/>
        </w:rPr>
        <w:t>تعريف الاحتجاج</w:t>
      </w:r>
      <w:r>
        <w:rPr>
          <w:rFonts w:ascii="Sakkal Majalla" w:hAnsi="Sakkal Majalla" w:cs="Sakkal Majalla"/>
          <w:sz w:val="36"/>
          <w:szCs w:val="36"/>
          <w:rtl/>
          <w:lang w:bidi="ar-DZ"/>
        </w:rPr>
        <w:t>:</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من معاني مادة حَجَجَ «الغلبة بالحُجة،  والحُجة بالضّمّ إقامة البرهان»</w:t>
      </w:r>
      <w:r>
        <w:rPr>
          <w:rStyle w:val="FootnoteReference"/>
          <w:rFonts w:ascii="Sakkal Majalla" w:hAnsi="Sakkal Majalla" w:cs="Sakkal Majalla"/>
          <w:sz w:val="36"/>
          <w:szCs w:val="36"/>
          <w:rtl/>
          <w:lang w:bidi="ar-DZ"/>
        </w:rPr>
        <w:footnoteReference w:id="4"/>
      </w:r>
      <w:r>
        <w:rPr>
          <w:rFonts w:ascii="Sakkal Majalla" w:hAnsi="Sakkal Majalla" w:cs="Sakkal Majalla"/>
          <w:sz w:val="36"/>
          <w:szCs w:val="36"/>
          <w:rtl/>
          <w:lang w:bidi="ar-DZ"/>
        </w:rPr>
        <w:t xml:space="preserve"> فحجج النحو براهين تقام من نصوص اللغة للدلالة على صحة رأي أو قاعدة</w:t>
      </w:r>
      <w:r>
        <w:rPr>
          <w:rStyle w:val="FootnoteReference"/>
          <w:rFonts w:ascii="Sakkal Majalla" w:hAnsi="Sakkal Majalla" w:cs="Sakkal Majalla"/>
          <w:sz w:val="36"/>
          <w:szCs w:val="36"/>
          <w:rtl/>
          <w:lang w:bidi="ar-DZ"/>
        </w:rPr>
        <w:footnoteReference w:id="5"/>
      </w:r>
      <w:r>
        <w:rPr>
          <w:rFonts w:ascii="Sakkal Majalla" w:hAnsi="Sakkal Majalla" w:cs="Sakkal Majalla"/>
          <w:sz w:val="36"/>
          <w:szCs w:val="36"/>
          <w:rtl/>
          <w:lang w:bidi="ar-DZ"/>
        </w:rPr>
        <w:t xml:space="preserve">، «ويستخدم لفظ الاحتجاج غالبا في النحو في المواقف التي يطلب فيها المغالبة والجدل قصد </w:t>
      </w:r>
      <w:r>
        <w:rPr>
          <w:rFonts w:ascii="Sakkal Majalla" w:hAnsi="Sakkal Majalla" w:cs="Sakkal Majalla"/>
          <w:sz w:val="36"/>
          <w:szCs w:val="36"/>
          <w:rtl/>
          <w:lang w:bidi="ar-DZ"/>
        </w:rPr>
        <w:lastRenderedPageBreak/>
        <w:t>التفوق ونصرة الرأي»</w:t>
      </w:r>
      <w:r>
        <w:rPr>
          <w:rStyle w:val="FootnoteReference"/>
          <w:rFonts w:ascii="Sakkal Majalla" w:hAnsi="Sakkal Majalla" w:cs="Sakkal Majalla"/>
          <w:sz w:val="36"/>
          <w:szCs w:val="36"/>
          <w:rtl/>
          <w:lang w:bidi="ar-DZ"/>
        </w:rPr>
        <w:footnoteReference w:id="6"/>
      </w:r>
      <w:r>
        <w:rPr>
          <w:rFonts w:ascii="Sakkal Majalla" w:hAnsi="Sakkal Majalla" w:cs="Sakkal Majalla"/>
          <w:sz w:val="36"/>
          <w:szCs w:val="36"/>
          <w:rtl/>
          <w:lang w:bidi="ar-DZ"/>
        </w:rPr>
        <w:t>، وأصول النحو علم استدلالي إذ يتخذ  المستدِلّ من الأدلّة وهي القرآن الكريم والحديث النبوي الشريف، وكلام العرب  حجة لإثبات الحكم النحوي إما بالصحة أو الفساد والأمثلة في هذا الباب كثيرة  نذكر منها</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ما احتج به ابن جني في كتابه الخصائص على فساد لسان رجل جاءه يدّعي الفصاحة اللغوية و أنشده  يوما  شعرا  لنفسه يقول في بعض قوافيه( أشئؤها وأدأؤها ) بوزن (أشععها أدععها)، فجمع بين الهمزتين في موضع لا أصل له ولا قياس يسوّغه، لأنه لو التقت همزتان عن وجوب صنعة للزم تغيير إحداهما، واحتج على بطلان ما جاء به الرجل باستحضار دليل نقلي  من كلام العرب و آخر عقلي عن طريق القياس،  و أما الدليل  من كلام العرب قولهم  خطائئ، رزائئ، لفائئ وأنشدوا قول الشاعر:</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فإنك لا تدري متى الموت جَائِئْ     إليك وما يحدث الله في غد</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فموضع الشاهد هنا هو (جائئ)، والهمز هنا فيه عرض عن صحة صنعة لأن إحدى الهمزتين أصلية على وزن فاعل  وهي همزة عينه لذلك يجوز في الاستعمال تصحيحها إلى جائي أو جايي. ويجوز إثبات الهمز فيها  لأن همزة العين أصلية. </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b/>
          <w:bCs/>
          <w:sz w:val="36"/>
          <w:szCs w:val="36"/>
          <w:lang w:bidi="ar-DZ"/>
        </w:rPr>
        <w:t>2</w:t>
      </w:r>
      <w:r>
        <w:rPr>
          <w:rFonts w:ascii="Sakkal Majalla" w:hAnsi="Sakkal Majalla" w:cs="Sakkal Majalla"/>
          <w:b/>
          <w:bCs/>
          <w:sz w:val="36"/>
          <w:szCs w:val="36"/>
          <w:rtl/>
          <w:lang w:bidi="ar-DZ"/>
        </w:rPr>
        <w:t>- من يحتج به:</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 بحث علماء العربية فيمن نقل الرواة من أهل المدر والوبر قدماء ومحدثين، فاجتمعوا على الاحتجاج بقول من يوثق بفصاحته وسلامة عربيته، فقد نقلوا الاحتجاج بأقوال عرب الجاهلية، وفصحاء الإسلام حتى منتصف القرن الثاني سواء سكنوا الحضر أم البادية، أما الشعراء فقد صنّفوا أصنافا أربعة: شعراء الجاهلية لم يدركوا الإسلام، ومخضرمين أدركوا الجاهلية والإسلام، وشعراء إسلاميون لم </w:t>
      </w:r>
      <w:r>
        <w:rPr>
          <w:rFonts w:ascii="Sakkal Majalla" w:hAnsi="Sakkal Majalla" w:cs="Sakkal Majalla"/>
          <w:sz w:val="36"/>
          <w:szCs w:val="36"/>
          <w:rtl/>
          <w:lang w:bidi="ar-DZ"/>
        </w:rPr>
        <w:lastRenderedPageBreak/>
        <w:t xml:space="preserve">يدركوا من الجاهلية شيئا، ومحدثون، وأجمع العلماء على صحة الاستشهاد بالطبقتين الأوليتين واختلفوا في الطبقة الثالثة، أما الرابعة فلا يستشهد بكلامها في علوم اللغة والنحو والصرف خاصة، أما أهل البادية فقد استمر العلماء يأخذوا لغاتهم حتى القرن </w:t>
      </w:r>
      <w:r>
        <w:rPr>
          <w:rFonts w:ascii="Sakkal Majalla" w:hAnsi="Sakkal Majalla" w:cs="Sakkal Majalla"/>
          <w:sz w:val="36"/>
          <w:szCs w:val="36"/>
          <w:lang w:bidi="ar-DZ"/>
        </w:rPr>
        <w:t>4</w:t>
      </w:r>
      <w:r>
        <w:rPr>
          <w:rFonts w:ascii="Sakkal Majalla" w:hAnsi="Sakkal Majalla" w:cs="Sakkal Majalla"/>
          <w:sz w:val="36"/>
          <w:szCs w:val="36"/>
          <w:rtl/>
          <w:lang w:bidi="ar-DZ"/>
        </w:rPr>
        <w:t>ه   »</w:t>
      </w:r>
      <w:r>
        <w:rPr>
          <w:rStyle w:val="FootnoteReference"/>
          <w:rFonts w:ascii="Sakkal Majalla" w:hAnsi="Sakkal Majalla" w:cs="Sakkal Majalla"/>
          <w:sz w:val="36"/>
          <w:szCs w:val="36"/>
          <w:rtl/>
          <w:lang w:bidi="ar-DZ"/>
        </w:rPr>
        <w:footnoteReference w:id="8"/>
      </w:r>
      <w:r>
        <w:rPr>
          <w:rFonts w:ascii="Sakkal Majalla" w:hAnsi="Sakkal Majalla" w:cs="Sakkal Majalla"/>
          <w:sz w:val="36"/>
          <w:szCs w:val="36"/>
          <w:rtl/>
          <w:lang w:bidi="ar-DZ"/>
        </w:rPr>
        <w:t>.</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كما اعتمدوا كلام القبائل في قلب جزيرة العرب وردوا كلام القبائل التي على السواحل.</w:t>
      </w:r>
      <w:r>
        <w:rPr>
          <w:rStyle w:val="FootnoteReference"/>
          <w:rFonts w:ascii="Sakkal Majalla" w:hAnsi="Sakkal Majalla" w:cs="Sakkal Majalla"/>
          <w:sz w:val="36"/>
          <w:szCs w:val="36"/>
          <w:rtl/>
          <w:lang w:bidi="ar-DZ"/>
        </w:rPr>
        <w:footnoteReference w:id="9"/>
      </w:r>
    </w:p>
    <w:p w:rsidR="004413AE" w:rsidRDefault="004413AE" w:rsidP="004413AE">
      <w:pPr>
        <w:bidi/>
        <w:jc w:val="both"/>
        <w:rPr>
          <w:rFonts w:ascii="Sakkal Majalla" w:hAnsi="Sakkal Majalla" w:cs="Sakkal Majalla"/>
          <w:b/>
          <w:bCs/>
          <w:sz w:val="36"/>
          <w:szCs w:val="36"/>
          <w:lang w:bidi="ar-DZ"/>
        </w:rPr>
      </w:pPr>
      <w:r>
        <w:rPr>
          <w:rFonts w:ascii="Sakkal Majalla" w:hAnsi="Sakkal Majalla" w:cs="Sakkal Majalla"/>
          <w:b/>
          <w:bCs/>
          <w:sz w:val="36"/>
          <w:szCs w:val="36"/>
          <w:lang w:bidi="ar-DZ"/>
        </w:rPr>
        <w:t>3</w:t>
      </w:r>
      <w:r>
        <w:rPr>
          <w:rFonts w:ascii="Sakkal Majalla" w:hAnsi="Sakkal Majalla" w:cs="Sakkal Majalla"/>
          <w:b/>
          <w:bCs/>
          <w:sz w:val="36"/>
          <w:szCs w:val="36"/>
          <w:rtl/>
          <w:lang w:bidi="ar-DZ"/>
        </w:rPr>
        <w:t xml:space="preserve">- ما يحتج به: </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ينقسم الكلام المحتج به إلى أقسام ثلاثة: </w:t>
      </w:r>
      <w:r>
        <w:rPr>
          <w:rFonts w:ascii="Sakkal Majalla" w:hAnsi="Sakkal Majalla" w:cs="Sakkal Majalla"/>
          <w:sz w:val="36"/>
          <w:szCs w:val="36"/>
          <w:lang w:bidi="ar-DZ"/>
        </w:rPr>
        <w:t>1</w:t>
      </w:r>
      <w:r>
        <w:rPr>
          <w:rFonts w:ascii="Sakkal Majalla" w:hAnsi="Sakkal Majalla" w:cs="Sakkal Majalla"/>
          <w:sz w:val="36"/>
          <w:szCs w:val="36"/>
          <w:rtl/>
          <w:lang w:bidi="ar-DZ"/>
        </w:rPr>
        <w:t xml:space="preserve">- القرآن الكريم، </w:t>
      </w:r>
      <w:r>
        <w:rPr>
          <w:rFonts w:ascii="Sakkal Majalla" w:hAnsi="Sakkal Majalla" w:cs="Sakkal Majalla"/>
          <w:sz w:val="36"/>
          <w:szCs w:val="36"/>
          <w:lang w:bidi="ar-DZ"/>
        </w:rPr>
        <w:t>2</w:t>
      </w:r>
      <w:r>
        <w:rPr>
          <w:rFonts w:ascii="Sakkal Majalla" w:hAnsi="Sakkal Majalla" w:cs="Sakkal Majalla"/>
          <w:sz w:val="36"/>
          <w:szCs w:val="36"/>
          <w:rtl/>
          <w:lang w:bidi="ar-DZ"/>
        </w:rPr>
        <w:t xml:space="preserve">- الحديث النبوي الشريف </w:t>
      </w:r>
      <w:r>
        <w:rPr>
          <w:rFonts w:ascii="Sakkal Majalla" w:hAnsi="Sakkal Majalla" w:cs="Sakkal Majalla"/>
          <w:sz w:val="36"/>
          <w:szCs w:val="36"/>
          <w:lang w:bidi="ar-DZ"/>
        </w:rPr>
        <w:t>3</w:t>
      </w:r>
      <w:r>
        <w:rPr>
          <w:rFonts w:ascii="Sakkal Majalla" w:hAnsi="Sakkal Majalla" w:cs="Sakkal Majalla"/>
          <w:sz w:val="36"/>
          <w:szCs w:val="36"/>
          <w:rtl/>
          <w:lang w:bidi="ar-DZ"/>
        </w:rPr>
        <w:t>- كلام العرب".</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والقرآن الكريم هو النص الصحيح المنقول بالنقل الصحيح المجمع على الاحتجاج  به في اللغة، والنحو، والصرف وعلوم البلاغة ، وكذلك الحديث النبوي الشريف إذا تحققت فيه شروط الرواية الصحيحة، وكذلك كلام العرب.</w:t>
      </w:r>
    </w:p>
    <w:p w:rsidR="004413AE" w:rsidRDefault="004413AE" w:rsidP="004413AE">
      <w:pPr>
        <w:bidi/>
        <w:jc w:val="both"/>
        <w:rPr>
          <w:rFonts w:ascii="Sakkal Majalla" w:hAnsi="Sakkal Majalla" w:cs="Sakkal Majalla"/>
          <w:b/>
          <w:bCs/>
          <w:sz w:val="36"/>
          <w:szCs w:val="36"/>
          <w:lang w:bidi="ar-DZ"/>
        </w:rPr>
      </w:pPr>
      <w:r>
        <w:rPr>
          <w:rFonts w:ascii="Sakkal Majalla" w:hAnsi="Sakkal Majalla" w:cs="Sakkal Majalla"/>
          <w:b/>
          <w:bCs/>
          <w:sz w:val="36"/>
          <w:szCs w:val="36"/>
          <w:lang w:bidi="ar-DZ"/>
        </w:rPr>
        <w:t>4</w:t>
      </w:r>
      <w:r>
        <w:rPr>
          <w:rFonts w:ascii="Sakkal Majalla" w:hAnsi="Sakkal Majalla" w:cs="Sakkal Majalla"/>
          <w:b/>
          <w:bCs/>
          <w:sz w:val="36"/>
          <w:szCs w:val="36"/>
          <w:rtl/>
          <w:lang w:bidi="ar-DZ"/>
        </w:rPr>
        <w:t>- بعض قواعدهم في الاحتجاج</w:t>
      </w:r>
      <w:r>
        <w:rPr>
          <w:rStyle w:val="FootnoteReference"/>
          <w:rFonts w:ascii="Sakkal Majalla" w:hAnsi="Sakkal Majalla" w:cs="Sakkal Majalla"/>
          <w:b/>
          <w:bCs/>
          <w:sz w:val="36"/>
          <w:szCs w:val="36"/>
          <w:rtl/>
          <w:lang w:bidi="ar-DZ"/>
        </w:rPr>
        <w:footnoteReference w:id="10"/>
      </w:r>
      <w:r>
        <w:rPr>
          <w:rFonts w:ascii="Sakkal Majalla" w:hAnsi="Sakkal Majalla" w:cs="Sakkal Majalla"/>
          <w:b/>
          <w:bCs/>
          <w:sz w:val="36"/>
          <w:szCs w:val="36"/>
          <w:rtl/>
          <w:lang w:bidi="ar-DZ"/>
        </w:rPr>
        <w:t xml:space="preserve">: </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1</w:t>
      </w:r>
      <w:r>
        <w:rPr>
          <w:rFonts w:ascii="Sakkal Majalla" w:hAnsi="Sakkal Majalla" w:cs="Sakkal Majalla"/>
          <w:sz w:val="36"/>
          <w:szCs w:val="36"/>
          <w:rtl/>
          <w:lang w:bidi="ar-DZ"/>
        </w:rPr>
        <w:t xml:space="preserve">- «المسموع إما مطرد و إما شاذ و الاطراد والشذوذ أربعة أضرب: </w:t>
      </w:r>
    </w:p>
    <w:p w:rsidR="004413AE" w:rsidRDefault="004413AE" w:rsidP="004413AE">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مطرد في القياس والاستعمال معا، كرفع الفاعل ونصب المفعول.</w:t>
      </w:r>
    </w:p>
    <w:p w:rsidR="004413AE" w:rsidRDefault="004413AE" w:rsidP="004413AE">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مطرد في القياس نحو الماضي من يذر و يدع.</w:t>
      </w:r>
    </w:p>
    <w:p w:rsidR="004413AE" w:rsidRDefault="004413AE" w:rsidP="004413AE">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مطرد في الاستعمال شاذ في القياس (استحوذ، استنوق).</w:t>
      </w:r>
    </w:p>
    <w:p w:rsidR="004413AE" w:rsidRDefault="004413AE" w:rsidP="004413AE">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شاذ في القياس وفي الاستعمال معا نحو: ثوب مصوون، وفرس مقوود.</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lastRenderedPageBreak/>
        <w:t>2</w:t>
      </w:r>
      <w:r>
        <w:rPr>
          <w:rFonts w:ascii="Sakkal Majalla" w:hAnsi="Sakkal Majalla" w:cs="Sakkal Majalla"/>
          <w:sz w:val="36"/>
          <w:szCs w:val="36"/>
          <w:rtl/>
          <w:lang w:bidi="ar-DZ"/>
        </w:rPr>
        <w:t>- لا تشترط العدالة في العربي المروي عنه وإنما تشترط في الراوي.</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3</w:t>
      </w:r>
      <w:r>
        <w:rPr>
          <w:rFonts w:ascii="Sakkal Majalla" w:hAnsi="Sakkal Majalla" w:cs="Sakkal Majalla"/>
          <w:sz w:val="36"/>
          <w:szCs w:val="36"/>
          <w:rtl/>
          <w:lang w:bidi="ar-DZ"/>
        </w:rPr>
        <w:t>- يقبل ما ينفرد به الفصيح لاحتمال أن يكون سمع لغة قديمة جاد المتكلمون بها.</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4</w:t>
      </w:r>
      <w:r>
        <w:rPr>
          <w:rFonts w:ascii="Sakkal Majalla" w:hAnsi="Sakkal Majalla" w:cs="Sakkal Majalla"/>
          <w:sz w:val="36"/>
          <w:szCs w:val="36"/>
          <w:rtl/>
          <w:lang w:bidi="ar-DZ"/>
        </w:rPr>
        <w:t>- اللغات على اختلافها حجة (كلغة الحجازيين في إعمال ما و لغة التميميين في      تركه).</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5</w:t>
      </w:r>
      <w:r>
        <w:rPr>
          <w:rFonts w:ascii="Sakkal Majalla" w:hAnsi="Sakkal Majalla" w:cs="Sakkal Majalla"/>
          <w:sz w:val="36"/>
          <w:szCs w:val="36"/>
          <w:rtl/>
          <w:lang w:bidi="ar-DZ"/>
        </w:rPr>
        <w:t>- إذا دخل دليل الاحتمال سقط به الاستدلال.</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رد أبو حيان بهذه القاعدة على بن مالك في مسائل استدل بها منها : قصر (الأخ) بقوله: </w:t>
      </w:r>
    </w:p>
    <w:p w:rsidR="004413AE" w:rsidRDefault="004413AE" w:rsidP="004413AE">
      <w:pPr>
        <w:bidi/>
        <w:jc w:val="center"/>
        <w:rPr>
          <w:rFonts w:ascii="Sakkal Majalla" w:hAnsi="Sakkal Majalla" w:cs="Sakkal Majalla"/>
          <w:sz w:val="36"/>
          <w:szCs w:val="36"/>
          <w:lang w:bidi="ar-DZ"/>
        </w:rPr>
      </w:pPr>
      <w:r>
        <w:rPr>
          <w:rFonts w:ascii="Sakkal Majalla" w:hAnsi="Sakkal Majalla" w:cs="Sakkal Majalla"/>
          <w:b/>
          <w:bCs/>
          <w:sz w:val="36"/>
          <w:szCs w:val="36"/>
          <w:rtl/>
          <w:lang w:bidi="ar-DZ"/>
        </w:rPr>
        <w:t xml:space="preserve">أخاك </w:t>
      </w:r>
      <w:r>
        <w:rPr>
          <w:rFonts w:ascii="Sakkal Majalla" w:hAnsi="Sakkal Majalla" w:cs="Sakkal Majalla"/>
          <w:sz w:val="36"/>
          <w:szCs w:val="36"/>
          <w:rtl/>
          <w:lang w:bidi="ar-DZ"/>
        </w:rPr>
        <w:t>الذي إن تدعه لملمة يجبك ....   بما تبغي ويكفيك من يبغي</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rtl/>
          <w:lang w:bidi="ar-DZ"/>
        </w:rPr>
        <w:t>فإنه احتمال أن يكون منصوبا بإضمار فعل (إلزم) وبذلك لا يصح الاستدلال بالبيت على القصر.</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6</w:t>
      </w:r>
      <w:r>
        <w:rPr>
          <w:rFonts w:ascii="Sakkal Majalla" w:hAnsi="Sakkal Majalla" w:cs="Sakkal Majalla"/>
          <w:sz w:val="36"/>
          <w:szCs w:val="36"/>
          <w:rtl/>
          <w:lang w:bidi="ar-DZ"/>
        </w:rPr>
        <w:t>- لا يحتج بكلام المحدثين والمولدين.</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7</w:t>
      </w:r>
      <w:r>
        <w:rPr>
          <w:rFonts w:ascii="Sakkal Majalla" w:hAnsi="Sakkal Majalla" w:cs="Sakkal Majalla"/>
          <w:sz w:val="36"/>
          <w:szCs w:val="36"/>
          <w:rtl/>
          <w:lang w:bidi="ar-DZ"/>
        </w:rPr>
        <w:t>- لا يجوز الاحتجاج بشعر ولا نثر لا يعرف قائله إلا إذا رواه عربي ممن يحتج بكلامه. »</w:t>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8</w:t>
      </w:r>
      <w:r>
        <w:rPr>
          <w:rFonts w:ascii="Sakkal Majalla" w:hAnsi="Sakkal Majalla" w:cs="Sakkal Majalla"/>
          <w:sz w:val="36"/>
          <w:szCs w:val="36"/>
          <w:rtl/>
          <w:lang w:bidi="ar-DZ"/>
        </w:rPr>
        <w:t>- لا يحتج بماله روايتان إحداهما مؤيدة وأخرى مخالفة.</w:t>
      </w:r>
      <w:r>
        <w:rPr>
          <w:rStyle w:val="FootnoteReference"/>
          <w:rFonts w:ascii="Sakkal Majalla" w:hAnsi="Sakkal Majalla" w:cs="Sakkal Majalla"/>
          <w:sz w:val="36"/>
          <w:szCs w:val="36"/>
          <w:rtl/>
          <w:lang w:bidi="ar-DZ"/>
        </w:rPr>
        <w:footnoteReference w:id="11"/>
      </w:r>
    </w:p>
    <w:p w:rsidR="004413AE" w:rsidRDefault="004413AE" w:rsidP="004413AE">
      <w:pPr>
        <w:bidi/>
        <w:jc w:val="both"/>
        <w:rPr>
          <w:rFonts w:ascii="Sakkal Majalla" w:hAnsi="Sakkal Majalla" w:cs="Sakkal Majalla"/>
          <w:sz w:val="36"/>
          <w:szCs w:val="36"/>
          <w:lang w:bidi="ar-DZ"/>
        </w:rPr>
      </w:pPr>
      <w:r>
        <w:rPr>
          <w:rFonts w:ascii="Sakkal Majalla" w:hAnsi="Sakkal Majalla" w:cs="Sakkal Majalla"/>
          <w:sz w:val="36"/>
          <w:szCs w:val="36"/>
          <w:lang w:bidi="ar-DZ"/>
        </w:rPr>
        <w:t>9</w:t>
      </w:r>
      <w:r>
        <w:rPr>
          <w:rFonts w:ascii="Sakkal Majalla" w:hAnsi="Sakkal Majalla" w:cs="Sakkal Majalla"/>
          <w:sz w:val="36"/>
          <w:szCs w:val="36"/>
          <w:rtl/>
          <w:lang w:bidi="ar-DZ"/>
        </w:rPr>
        <w:t>- يشترط في نقل المتواتر أن يبلغ عدد النقلة إلى حد لا يجوز الاتفاق فيه على الكذب.</w:t>
      </w:r>
      <w:r>
        <w:rPr>
          <w:rStyle w:val="FootnoteReference"/>
          <w:rFonts w:ascii="Sakkal Majalla" w:hAnsi="Sakkal Majalla" w:cs="Sakkal Majalla"/>
          <w:sz w:val="36"/>
          <w:szCs w:val="36"/>
          <w:rtl/>
          <w:lang w:bidi="ar-DZ"/>
        </w:rPr>
        <w:footnoteReference w:id="12"/>
      </w:r>
    </w:p>
    <w:p w:rsidR="004413AE" w:rsidRDefault="004413AE" w:rsidP="004413AE">
      <w:pPr>
        <w:bidi/>
        <w:jc w:val="both"/>
        <w:rPr>
          <w:rFonts w:ascii="Sakkal Majalla" w:hAnsi="Sakkal Majalla" w:cs="Sakkal Majalla"/>
          <w:sz w:val="36"/>
          <w:szCs w:val="36"/>
          <w:lang w:bidi="ar-DZ"/>
        </w:rPr>
      </w:pPr>
    </w:p>
    <w:p w:rsidR="007625B2" w:rsidRPr="004413AE" w:rsidRDefault="007625B2" w:rsidP="004413AE">
      <w:pPr>
        <w:bidi/>
      </w:pPr>
    </w:p>
    <w:sectPr w:rsidR="007625B2" w:rsidRPr="004413AE" w:rsidSect="007625B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5E2" w:rsidRDefault="000D15E2" w:rsidP="004413AE">
      <w:pPr>
        <w:spacing w:after="0" w:line="240" w:lineRule="auto"/>
      </w:pPr>
      <w:r>
        <w:separator/>
      </w:r>
    </w:p>
  </w:endnote>
  <w:endnote w:type="continuationSeparator" w:id="1">
    <w:p w:rsidR="000D15E2" w:rsidRDefault="000D15E2" w:rsidP="00441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5E2" w:rsidRDefault="000D15E2" w:rsidP="004413AE">
      <w:pPr>
        <w:spacing w:after="0" w:line="240" w:lineRule="auto"/>
      </w:pPr>
      <w:r>
        <w:separator/>
      </w:r>
    </w:p>
  </w:footnote>
  <w:footnote w:type="continuationSeparator" w:id="1">
    <w:p w:rsidR="000D15E2" w:rsidRDefault="000D15E2" w:rsidP="004413AE">
      <w:pPr>
        <w:spacing w:after="0" w:line="240" w:lineRule="auto"/>
      </w:pPr>
      <w:r>
        <w:continuationSeparator/>
      </w:r>
    </w:p>
  </w:footnote>
  <w:footnote w:id="2">
    <w:p w:rsidR="004413AE" w:rsidRDefault="004413AE" w:rsidP="004413AE">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سعيد الافغاني: في اصول النحو، ص</w:t>
      </w:r>
      <w:r>
        <w:rPr>
          <w:rFonts w:ascii="Traditional Arabic" w:hAnsi="Traditional Arabic" w:cs="Traditional Arabic"/>
          <w:sz w:val="28"/>
          <w:szCs w:val="28"/>
        </w:rPr>
        <w:t>6</w:t>
      </w:r>
    </w:p>
  </w:footnote>
  <w:footnote w:id="3">
    <w:p w:rsidR="004413AE" w:rsidRDefault="004413AE" w:rsidP="004413AE">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أبي البركات بن الانباري،الإغراب في جدل الإعراب ولمع الأدلة، تحقيق سعيد الأفغاني،دار الفكر، بيروت، 1971ص </w:t>
      </w:r>
      <w:r>
        <w:rPr>
          <w:rFonts w:ascii="Traditional Arabic" w:hAnsi="Traditional Arabic" w:cs="Traditional Arabic"/>
          <w:sz w:val="28"/>
          <w:szCs w:val="28"/>
        </w:rPr>
        <w:t>81</w:t>
      </w:r>
    </w:p>
  </w:footnote>
  <w:footnote w:id="4">
    <w:p w:rsidR="004413AE" w:rsidRDefault="004413AE" w:rsidP="004413AE">
      <w:pPr>
        <w:pStyle w:val="FootnoteText"/>
        <w:bidi/>
        <w:rPr>
          <w:rFonts w:ascii="Traditional Arabic" w:hAnsi="Traditional Arabic" w:cs="Traditional Arabic"/>
          <w:sz w:val="28"/>
          <w:szCs w:val="28"/>
          <w:lang w:bidi="ar-DZ"/>
        </w:rPr>
      </w:pPr>
      <w:r>
        <w:rPr>
          <w:rStyle w:val="FootnoteCharacters"/>
          <w:rFonts w:ascii="Traditional Arabic" w:hAnsi="Traditional Arabic" w:cs="Traditional Arabic"/>
          <w:sz w:val="28"/>
          <w:szCs w:val="28"/>
        </w:rPr>
        <w:footnoteRef/>
      </w:r>
      <w:r>
        <w:rPr>
          <w:rFonts w:ascii="Traditional Arabic" w:hAnsi="Traditional Arabic" w:cs="Traditional Arabic"/>
          <w:sz w:val="28"/>
          <w:szCs w:val="28"/>
          <w:rtl/>
          <w:lang w:bidi="ar-DZ"/>
        </w:rPr>
        <w:t xml:space="preserve">الفيروز أبادي:القاموس المحيطّ، مراجعة، أنس محمد الشامي، زكريا جابر احمد، دار الحديث، القاهرة،دط، </w:t>
      </w:r>
      <w:r>
        <w:rPr>
          <w:rFonts w:ascii="Traditional Arabic" w:hAnsi="Traditional Arabic" w:cs="Traditional Arabic"/>
          <w:sz w:val="28"/>
          <w:szCs w:val="28"/>
          <w:lang w:bidi="ar-DZ"/>
        </w:rPr>
        <w:t>2008</w:t>
      </w:r>
      <w:r>
        <w:rPr>
          <w:rFonts w:ascii="Traditional Arabic" w:hAnsi="Traditional Arabic" w:cs="Traditional Arabic"/>
          <w:sz w:val="28"/>
          <w:szCs w:val="28"/>
          <w:rtl/>
          <w:lang w:bidi="ar-DZ"/>
        </w:rPr>
        <w:t>م، ص</w:t>
      </w:r>
      <w:r>
        <w:rPr>
          <w:rFonts w:ascii="Traditional Arabic" w:hAnsi="Traditional Arabic" w:cs="Traditional Arabic"/>
          <w:sz w:val="28"/>
          <w:szCs w:val="28"/>
          <w:lang w:bidi="ar-DZ"/>
        </w:rPr>
        <w:t>331</w:t>
      </w:r>
      <w:r>
        <w:rPr>
          <w:rFonts w:ascii="Traditional Arabic" w:hAnsi="Traditional Arabic" w:cs="Traditional Arabic"/>
          <w:sz w:val="28"/>
          <w:szCs w:val="28"/>
          <w:rtl/>
          <w:lang w:bidi="ar-DZ"/>
        </w:rPr>
        <w:t xml:space="preserve"> .</w:t>
      </w:r>
    </w:p>
  </w:footnote>
  <w:footnote w:id="5">
    <w:p w:rsidR="004413AE" w:rsidRDefault="004413AE" w:rsidP="004413AE">
      <w:pPr>
        <w:pStyle w:val="FootnoteText"/>
        <w:bidi/>
        <w:rPr>
          <w:rFonts w:ascii="Traditional Arabic" w:hAnsi="Traditional Arabic" w:cs="Traditional Arabic"/>
          <w:sz w:val="28"/>
          <w:szCs w:val="28"/>
          <w:lang w:bidi="ar-DZ"/>
        </w:rPr>
      </w:pPr>
      <w:r>
        <w:rPr>
          <w:rStyle w:val="FootnoteCharacters"/>
          <w:rFonts w:ascii="Traditional Arabic" w:hAnsi="Traditional Arabic" w:cs="Traditional Arabic"/>
          <w:sz w:val="28"/>
          <w:szCs w:val="28"/>
        </w:rPr>
        <w:footnoteRef/>
      </w:r>
      <w:r>
        <w:rPr>
          <w:rFonts w:ascii="Traditional Arabic" w:hAnsi="Traditional Arabic" w:cs="Traditional Arabic"/>
          <w:sz w:val="28"/>
          <w:szCs w:val="28"/>
          <w:rtl/>
          <w:lang w:bidi="ar-DZ"/>
        </w:rPr>
        <w:t>محمد عيد : الرواية والاستشهاد، ص</w:t>
      </w:r>
      <w:r>
        <w:rPr>
          <w:rFonts w:ascii="Traditional Arabic" w:hAnsi="Traditional Arabic" w:cs="Traditional Arabic"/>
          <w:sz w:val="28"/>
          <w:szCs w:val="28"/>
          <w:lang w:bidi="ar-DZ"/>
        </w:rPr>
        <w:t>86</w:t>
      </w:r>
      <w:r>
        <w:rPr>
          <w:rFonts w:ascii="Traditional Arabic" w:hAnsi="Traditional Arabic" w:cs="Traditional Arabic"/>
          <w:sz w:val="28"/>
          <w:szCs w:val="28"/>
          <w:rtl/>
          <w:lang w:bidi="ar-DZ"/>
        </w:rPr>
        <w:t>.</w:t>
      </w:r>
    </w:p>
  </w:footnote>
  <w:footnote w:id="6">
    <w:p w:rsidR="004413AE" w:rsidRDefault="004413AE" w:rsidP="004413AE">
      <w:pPr>
        <w:pStyle w:val="FootnoteText"/>
        <w:bidi/>
        <w:rPr>
          <w:rFonts w:ascii="Traditional Arabic" w:hAnsi="Traditional Arabic" w:cs="Traditional Arabic"/>
          <w:sz w:val="28"/>
          <w:szCs w:val="28"/>
          <w:lang w:bidi="ar-DZ"/>
        </w:rPr>
      </w:pPr>
      <w:r>
        <w:rPr>
          <w:rStyle w:val="FootnoteCharacters"/>
          <w:rFonts w:ascii="Traditional Arabic" w:hAnsi="Traditional Arabic" w:cs="Traditional Arabic"/>
          <w:sz w:val="28"/>
          <w:szCs w:val="28"/>
        </w:rPr>
        <w:footnoteRef/>
      </w:r>
      <w:r>
        <w:rPr>
          <w:rFonts w:ascii="Traditional Arabic" w:hAnsi="Traditional Arabic" w:cs="Traditional Arabic"/>
          <w:sz w:val="28"/>
          <w:szCs w:val="28"/>
          <w:rtl/>
          <w:lang w:bidi="ar-DZ"/>
        </w:rPr>
        <w:t>ينظر المرجع نفسه، ص</w:t>
      </w:r>
      <w:r>
        <w:rPr>
          <w:rFonts w:ascii="Traditional Arabic" w:hAnsi="Traditional Arabic" w:cs="Traditional Arabic"/>
          <w:sz w:val="28"/>
          <w:szCs w:val="28"/>
          <w:lang w:bidi="ar-DZ"/>
        </w:rPr>
        <w:t>87</w:t>
      </w:r>
      <w:r>
        <w:rPr>
          <w:rFonts w:ascii="Traditional Arabic" w:hAnsi="Traditional Arabic" w:cs="Traditional Arabic"/>
          <w:sz w:val="28"/>
          <w:szCs w:val="28"/>
          <w:rtl/>
          <w:lang w:bidi="ar-DZ"/>
        </w:rPr>
        <w:t>.</w:t>
      </w:r>
    </w:p>
  </w:footnote>
  <w:footnote w:id="7">
    <w:p w:rsidR="004413AE" w:rsidRDefault="004413AE" w:rsidP="004413AE">
      <w:pPr>
        <w:pStyle w:val="FootnoteText"/>
        <w:bidi/>
        <w:rPr>
          <w:rFonts w:ascii="Traditional Arabic" w:hAnsi="Traditional Arabic" w:cs="Traditional Arabic"/>
          <w:sz w:val="28"/>
          <w:szCs w:val="28"/>
          <w:lang w:bidi="ar-DZ"/>
        </w:rPr>
      </w:pPr>
      <w:r>
        <w:rPr>
          <w:rStyle w:val="FootnoteCharacters"/>
          <w:rFonts w:ascii="Traditional Arabic" w:hAnsi="Traditional Arabic" w:cs="Traditional Arabic"/>
          <w:sz w:val="28"/>
          <w:szCs w:val="28"/>
        </w:rPr>
        <w:footnoteRef/>
      </w:r>
      <w:r>
        <w:rPr>
          <w:rFonts w:ascii="Traditional Arabic" w:hAnsi="Traditional Arabic" w:cs="Traditional Arabic"/>
          <w:sz w:val="28"/>
          <w:szCs w:val="28"/>
          <w:rtl/>
          <w:lang w:bidi="ar-DZ"/>
        </w:rPr>
        <w:t>ينظر ابن جني: الخصائص، تحقيق محمد علي النجار،المكتبة العلمية،مصر، ج</w:t>
      </w:r>
      <w:r>
        <w:rPr>
          <w:rFonts w:ascii="Traditional Arabic" w:hAnsi="Traditional Arabic" w:cs="Traditional Arabic"/>
          <w:sz w:val="28"/>
          <w:szCs w:val="28"/>
          <w:lang w:bidi="ar-DZ"/>
        </w:rPr>
        <w:t>2</w:t>
      </w:r>
      <w:r>
        <w:rPr>
          <w:rFonts w:ascii="Traditional Arabic" w:hAnsi="Traditional Arabic" w:cs="Traditional Arabic"/>
          <w:sz w:val="28"/>
          <w:szCs w:val="28"/>
          <w:rtl/>
          <w:lang w:bidi="ar-DZ"/>
        </w:rPr>
        <w:t>، ص</w:t>
      </w:r>
      <w:r>
        <w:rPr>
          <w:rFonts w:ascii="Traditional Arabic" w:hAnsi="Traditional Arabic" w:cs="Traditional Arabic"/>
          <w:sz w:val="28"/>
          <w:szCs w:val="28"/>
          <w:lang w:bidi="ar-DZ"/>
        </w:rPr>
        <w:t>6</w:t>
      </w:r>
    </w:p>
  </w:footnote>
  <w:footnote w:id="8">
    <w:p w:rsidR="004413AE" w:rsidRDefault="004413AE" w:rsidP="004413AE">
      <w:pPr>
        <w:pStyle w:val="FootnoteText"/>
        <w:bidi/>
        <w:rPr>
          <w:lang w:bidi="ar-DZ"/>
        </w:rPr>
      </w:pPr>
      <w:r>
        <w:rPr>
          <w:rStyle w:val="FootnoteCharacters"/>
        </w:rPr>
        <w:footnoteRef/>
      </w:r>
      <w:r>
        <w:rPr>
          <w:rFonts w:ascii="Traditional Arabic" w:hAnsi="Traditional Arabic" w:cs="Traditional Arabic"/>
          <w:sz w:val="28"/>
          <w:szCs w:val="28"/>
          <w:rtl/>
        </w:rPr>
        <w:t xml:space="preserve">سعيد الافغاني، في اصول النحو ، ص </w:t>
      </w:r>
      <w:r>
        <w:rPr>
          <w:rFonts w:ascii="Traditional Arabic" w:hAnsi="Traditional Arabic" w:cs="Traditional Arabic"/>
          <w:sz w:val="28"/>
          <w:szCs w:val="28"/>
        </w:rPr>
        <w:t>19</w:t>
      </w:r>
      <w:r>
        <w:rPr>
          <w:rFonts w:ascii="Traditional Arabic" w:hAnsi="Traditional Arabic" w:cs="Traditional Arabic"/>
          <w:sz w:val="28"/>
          <w:szCs w:val="28"/>
          <w:rtl/>
        </w:rPr>
        <w:t>-</w:t>
      </w:r>
      <w:r>
        <w:rPr>
          <w:rFonts w:ascii="Traditional Arabic" w:hAnsi="Traditional Arabic" w:cs="Traditional Arabic"/>
          <w:sz w:val="28"/>
          <w:szCs w:val="28"/>
        </w:rPr>
        <w:t>20</w:t>
      </w:r>
    </w:p>
  </w:footnote>
  <w:footnote w:id="9">
    <w:p w:rsidR="004413AE" w:rsidRDefault="004413AE" w:rsidP="004413AE">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في أصول النحو ، ص</w:t>
      </w:r>
      <w:r>
        <w:rPr>
          <w:rFonts w:ascii="Traditional Arabic" w:hAnsi="Traditional Arabic" w:cs="Traditional Arabic"/>
          <w:sz w:val="28"/>
          <w:szCs w:val="28"/>
        </w:rPr>
        <w:t>21</w:t>
      </w:r>
    </w:p>
  </w:footnote>
  <w:footnote w:id="10">
    <w:p w:rsidR="004413AE" w:rsidRDefault="004413AE" w:rsidP="004413AE">
      <w:pPr>
        <w:pStyle w:val="FootnoteText"/>
        <w:bidi/>
        <w:rPr>
          <w:lang w:bidi="ar-DZ"/>
        </w:rPr>
      </w:pPr>
      <w:r>
        <w:rPr>
          <w:rStyle w:val="FootnoteCharacters"/>
        </w:rPr>
        <w:footnoteRef/>
      </w:r>
      <w:r>
        <w:rPr>
          <w:rFonts w:ascii="Traditional Arabic" w:hAnsi="Traditional Arabic" w:cs="Traditional Arabic"/>
          <w:sz w:val="28"/>
          <w:szCs w:val="28"/>
          <w:rtl/>
        </w:rPr>
        <w:t xml:space="preserve"> المرجع نفسه ، ص </w:t>
      </w:r>
      <w:r>
        <w:rPr>
          <w:rFonts w:ascii="Traditional Arabic" w:hAnsi="Traditional Arabic" w:cs="Traditional Arabic"/>
          <w:sz w:val="28"/>
          <w:szCs w:val="28"/>
        </w:rPr>
        <w:t>62</w:t>
      </w:r>
    </w:p>
    <w:p w:rsidR="004413AE" w:rsidRDefault="004413AE" w:rsidP="004413AE">
      <w:pPr>
        <w:pStyle w:val="FootnoteText"/>
        <w:bidi/>
        <w:rPr>
          <w:lang w:bidi="ar-DZ"/>
        </w:rPr>
      </w:pPr>
    </w:p>
  </w:footnote>
  <w:footnote w:id="11">
    <w:p w:rsidR="004413AE" w:rsidRDefault="004413AE" w:rsidP="004413AE">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السيوطي،الاقتراح : ص </w:t>
      </w:r>
      <w:r>
        <w:rPr>
          <w:rFonts w:ascii="Traditional Arabic" w:hAnsi="Traditional Arabic" w:cs="Traditional Arabic"/>
          <w:sz w:val="28"/>
          <w:szCs w:val="28"/>
        </w:rPr>
        <w:t>59</w:t>
      </w:r>
    </w:p>
  </w:footnote>
  <w:footnote w:id="12">
    <w:p w:rsidR="004413AE" w:rsidRDefault="004413AE" w:rsidP="004413AE">
      <w:pPr>
        <w:pStyle w:val="FootnoteText"/>
        <w:bidi/>
        <w:rPr>
          <w:lang w:bidi="ar-DZ"/>
        </w:rPr>
      </w:pPr>
      <w:r>
        <w:rPr>
          <w:rStyle w:val="FootnoteCharacters"/>
        </w:rPr>
        <w:footnoteRef/>
      </w:r>
      <w:r>
        <w:rPr>
          <w:rFonts w:ascii="Traditional Arabic" w:hAnsi="Traditional Arabic" w:cs="Traditional Arabic"/>
          <w:sz w:val="28"/>
          <w:szCs w:val="28"/>
          <w:rtl/>
          <w:lang w:bidi="ar-DZ"/>
        </w:rPr>
        <w:t>ابن الأنباري: لمع الأدلة ، ص</w:t>
      </w:r>
      <w:r>
        <w:rPr>
          <w:rFonts w:ascii="Traditional Arabic" w:hAnsi="Traditional Arabic" w:cs="Traditional Arabic"/>
          <w:sz w:val="28"/>
          <w:szCs w:val="28"/>
          <w:lang w:bidi="ar-DZ"/>
        </w:rPr>
        <w:t>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3B3E"/>
    <w:multiLevelType w:val="multilevel"/>
    <w:tmpl w:val="0AC8DF4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DA67164"/>
    <w:multiLevelType w:val="multilevel"/>
    <w:tmpl w:val="B73E5FA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4413AE"/>
    <w:rsid w:val="000D15E2"/>
    <w:rsid w:val="004413AE"/>
    <w:rsid w:val="007625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AE"/>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13AE"/>
    <w:pPr>
      <w:ind w:left="720"/>
      <w:contextualSpacing/>
    </w:pPr>
  </w:style>
  <w:style w:type="character" w:customStyle="1" w:styleId="NotedebasdepageCar">
    <w:name w:val="Note de bas de page Car"/>
    <w:basedOn w:val="Policepardfaut"/>
    <w:link w:val="FootnoteText"/>
    <w:uiPriority w:val="99"/>
    <w:qFormat/>
    <w:locked/>
    <w:rsid w:val="004413AE"/>
    <w:rPr>
      <w:sz w:val="20"/>
      <w:szCs w:val="20"/>
    </w:rPr>
  </w:style>
  <w:style w:type="paragraph" w:customStyle="1" w:styleId="FootnoteText">
    <w:name w:val="Footnote Text"/>
    <w:basedOn w:val="Normal"/>
    <w:link w:val="NotedebasdepageCar"/>
    <w:uiPriority w:val="99"/>
    <w:rsid w:val="004413AE"/>
    <w:pPr>
      <w:spacing w:after="0" w:line="240" w:lineRule="auto"/>
    </w:pPr>
    <w:rPr>
      <w:sz w:val="20"/>
      <w:szCs w:val="20"/>
    </w:rPr>
  </w:style>
  <w:style w:type="character" w:customStyle="1" w:styleId="FootnoteCharacters">
    <w:name w:val="Footnote Characters"/>
    <w:basedOn w:val="Policepardfaut"/>
    <w:uiPriority w:val="99"/>
    <w:qFormat/>
    <w:rsid w:val="004413AE"/>
    <w:rPr>
      <w:vertAlign w:val="superscript"/>
    </w:rPr>
  </w:style>
  <w:style w:type="character" w:customStyle="1" w:styleId="FootnoteReference">
    <w:name w:val="Footnote Reference"/>
    <w:rsid w:val="004413AE"/>
    <w:rPr>
      <w:vertAlign w:val="superscript"/>
    </w:rPr>
  </w:style>
</w:styles>
</file>

<file path=word/webSettings.xml><?xml version="1.0" encoding="utf-8"?>
<w:webSettings xmlns:r="http://schemas.openxmlformats.org/officeDocument/2006/relationships" xmlns:w="http://schemas.openxmlformats.org/wordprocessingml/2006/main">
  <w:divs>
    <w:div w:id="5996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2026-03-05T09:50:00Z</dcterms:created>
  <dcterms:modified xsi:type="dcterms:W3CDTF">2026-03-05T09:51:00Z</dcterms:modified>
</cp:coreProperties>
</file>