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09E" w:rsidRDefault="0065109E" w:rsidP="0065109E">
      <w:pPr>
        <w:bidi/>
        <w:jc w:val="center"/>
        <w:rPr>
          <w:rFonts w:ascii="Sakkal Majalla" w:hAnsi="Sakkal Majalla" w:cs="Sakkal Majalla"/>
          <w:b/>
          <w:bCs/>
          <w:sz w:val="36"/>
          <w:szCs w:val="36"/>
          <w:lang w:bidi="ar-DZ"/>
        </w:rPr>
      </w:pPr>
      <w:r>
        <w:rPr>
          <w:rFonts w:ascii="Sakkal Majalla" w:hAnsi="Sakkal Majalla" w:cs="Sakkal Majalla"/>
          <w:b/>
          <w:bCs/>
          <w:sz w:val="36"/>
          <w:szCs w:val="36"/>
          <w:rtl/>
          <w:lang w:bidi="ar-DZ"/>
        </w:rPr>
        <w:t>مدخل إلى علم أصول النحو</w:t>
      </w:r>
    </w:p>
    <w:p w:rsidR="0065109E" w:rsidRDefault="0065109E" w:rsidP="0065109E">
      <w:pPr>
        <w:bidi/>
        <w:rPr>
          <w:rFonts w:ascii="Sakkal Majalla" w:hAnsi="Sakkal Majalla" w:cs="Sakkal Majalla"/>
          <w:b/>
          <w:bCs/>
          <w:sz w:val="36"/>
          <w:szCs w:val="36"/>
          <w:lang w:bidi="ar-DZ"/>
        </w:rPr>
      </w:pPr>
      <w:r>
        <w:rPr>
          <w:rFonts w:ascii="Sakkal Majalla" w:hAnsi="Sakkal Majalla" w:cs="Sakkal Majalla"/>
          <w:b/>
          <w:bCs/>
          <w:sz w:val="36"/>
          <w:szCs w:val="36"/>
          <w:rtl/>
          <w:lang w:bidi="ar-DZ"/>
        </w:rPr>
        <w:t>تمهيد:</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ظهر علم أصول النحو في بدايته و تأسس على يد "ابن جني"حيث يقول في كتابه: "لم نر أحدا من علماء البلدين، تعرض لعمل أصول النحو على مذهب أصول الكلام والفقه، فأما كتاب أبي بكر فلم يلمم فيه بما نحن عليه إلا حرفا أو حرفين في أول كتابه"</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ولعله أول من ألّف فيه وبحث في فصوله وفروعه، ثم بعد ذلك جاء ابن الأنباري(</w:t>
      </w:r>
      <w:r>
        <w:rPr>
          <w:rFonts w:ascii="Sakkal Majalla" w:hAnsi="Sakkal Majalla" w:cs="Sakkal Majalla"/>
          <w:sz w:val="36"/>
          <w:szCs w:val="36"/>
          <w:lang w:bidi="ar-DZ"/>
        </w:rPr>
        <w:t>577</w:t>
      </w:r>
      <w:r>
        <w:rPr>
          <w:rFonts w:ascii="Sakkal Majalla" w:hAnsi="Sakkal Majalla" w:cs="Sakkal Majalla"/>
          <w:sz w:val="36"/>
          <w:szCs w:val="36"/>
          <w:rtl/>
          <w:lang w:bidi="ar-DZ"/>
        </w:rPr>
        <w:t xml:space="preserve">ت ه)، والسيوطي (ت </w:t>
      </w:r>
      <w:r>
        <w:rPr>
          <w:rFonts w:ascii="Sakkal Majalla" w:hAnsi="Sakkal Majalla" w:cs="Sakkal Majalla"/>
          <w:sz w:val="36"/>
          <w:szCs w:val="36"/>
          <w:lang w:bidi="ar-DZ"/>
        </w:rPr>
        <w:t>911</w:t>
      </w:r>
      <w:r>
        <w:rPr>
          <w:rFonts w:ascii="Sakkal Majalla" w:hAnsi="Sakkal Majalla" w:cs="Sakkal Majalla"/>
          <w:sz w:val="36"/>
          <w:szCs w:val="36"/>
          <w:rtl/>
          <w:lang w:bidi="ar-DZ"/>
        </w:rPr>
        <w:t>ه) ، وألفا في هذا العلم وبحثا في أدلته ومنهجه، إلا أنّ الناظر فيما جاء به  هؤلاء الأعلام الثلاثة سيدرك بعض الفروقات في اجتهاد كل واحد منهم، فقد اجتهد ابن جني في وضع القوانين والقواعد التي يمكن أن يستعين بها المستدل في علم الأصول، وبين المنهج السليم الذي يمكن أن يسلكه وهو يثبت صحة الأحكام النحوية ، وأهم ما ميز هذا العلم عند ابن جني هي الممارسة الاستدلالية التي كان يطبقها على نصوص نحوية كثيرة،فهو إلى جانب التنظير  ووضع القوانين كان يسعى إلى التطبيق.</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أما  ابن الأنباري فقد كان أكثر منهجية في كتابه لمع الأدلة وهو يعرض لفصول وأصول هذا العلم وهو ما افتقر إليه كتاب ابن جني؛ حيث كانت مباحث علم الأصول مبثوثة في ثنايا كتابه أما ابن الانباري فقد أفرد  له كتابا خاصا به عرض فيه تعريف كثير من المصطلحات الخاصة بعلم أصول النحو،  كما عرض لأدلة النحو الأجمالية وأقسامها وكيفية الاستدلال بها، اما السيوطي فهو الآخر عرض في كتابه الاقتراح في علم  أصول النحو لتعريفه واهم الأدلة النحوية التي  يمكن أن تثبت من خلالها الأحكام النحوية ولم يزد عن سابقيه.</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وأصول النحو كما يرى أصحابها  هي القواعد العامة او الأسس المبدئية التي يتخذها النحوي طريقة في التفكير و هي تمثل ميدانا تجاوز التفكير في انظمة اللغة الى البحث في مؤسساتها</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 xml:space="preserve"> ؛ معنى ذلك ان أصول النحو مجال معرفي يسعى للبحث في الأصول التي كانت العمود الذي قام عليه نظام اللغة العربية وهي بحث في المنهج اكثر منها في المادة.</w:t>
      </w:r>
    </w:p>
    <w:p w:rsidR="0065109E" w:rsidRDefault="0065109E" w:rsidP="0065109E">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lastRenderedPageBreak/>
        <w:t>أما الأصول فمصطلح قديم في تراثنا الثقافي، ظهر في بيئة الفقهاء قبل بيئة النحاة التي عرفته من خلال القرن الرابع للهجرة وعبارة أصول الفقه استعملت للدلالة على مجموعة من مصادر التشريع الاسلامي، وكيفية استقراء نصوصها واستنباط الأحكام منها، ومشروعية العمل بها فهي بهذا المفهوم تعني لدى الفقهاء بمعنى المنهج أكثر من دلالتها على أحكام ونصوص، والفقيه حينما يحدثنا عن الأصول فإنه يجعل أحدهما أولى من الآخر فالمنهجية أولا وبمقتضاها يكون استنباط الأحكام الشرعية. وأصول النحو مستمد من أصول الفقه في منهجيته وفي مصطلحاته ومقيس عليه وبني على غراره</w:t>
      </w:r>
      <w:r>
        <w:rPr>
          <w:rStyle w:val="FootnoteReference"/>
          <w:rFonts w:ascii="Sakkal Majalla" w:hAnsi="Sakkal Majalla" w:cs="Sakkal Majalla"/>
          <w:sz w:val="36"/>
          <w:szCs w:val="36"/>
          <w:rtl/>
          <w:lang w:bidi="ar-DZ"/>
        </w:rPr>
        <w:footnoteReference w:id="4"/>
      </w:r>
      <w:r>
        <w:rPr>
          <w:rFonts w:ascii="Sakkal Majalla" w:hAnsi="Sakkal Majalla" w:cs="Sakkal Majalla"/>
          <w:sz w:val="36"/>
          <w:szCs w:val="36"/>
          <w:rtl/>
          <w:lang w:bidi="ar-DZ"/>
        </w:rPr>
        <w:t xml:space="preserve">؛  </w:t>
      </w:r>
    </w:p>
    <w:p w:rsidR="0065109E" w:rsidRDefault="0065109E" w:rsidP="0065109E">
      <w:pPr>
        <w:pStyle w:val="Paragraphedeliste"/>
        <w:numPr>
          <w:ilvl w:val="0"/>
          <w:numId w:val="1"/>
        </w:num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تعريف ابن الأنباري لأصول النحو:</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يقول: "أصول النحو أدلة النحو التي تفرعت منها فروعه و أصوله، كما أن أصول الفقه أدلة الفقه التي تنوعت عنها جملته وتفصيله، وفائدته التعويل في إثبات الحكم على الحجة والتعليل والارتفاع عن حضيض التقليد إلى يفاع الاطلاع على الدليل، فإن المخلد إلى التقليد لا يعرف وجه الخطأ من الصواب ولا ينفك في أكثر الأمر عن عوارض الشك و الارتياب"</w:t>
      </w:r>
      <w:r>
        <w:rPr>
          <w:rStyle w:val="FootnoteReference"/>
          <w:rFonts w:ascii="Sakkal Majalla" w:hAnsi="Sakkal Majalla" w:cs="Sakkal Majalla"/>
          <w:sz w:val="36"/>
          <w:szCs w:val="36"/>
          <w:rtl/>
          <w:lang w:bidi="ar-DZ"/>
        </w:rPr>
        <w:footnoteReference w:id="5"/>
      </w:r>
      <w:r>
        <w:rPr>
          <w:rFonts w:ascii="Sakkal Majalla" w:hAnsi="Sakkal Majalla" w:cs="Sakkal Majalla"/>
          <w:sz w:val="36"/>
          <w:szCs w:val="36"/>
          <w:rtl/>
          <w:lang w:bidi="ar-DZ"/>
        </w:rPr>
        <w:t>. وقد قسم أدلة علم أصول النحو إلى ثلاثة : نقل وقياس واستصحاب حال.</w:t>
      </w:r>
      <w:r>
        <w:rPr>
          <w:rStyle w:val="FootnoteReference"/>
          <w:rFonts w:ascii="Sakkal Majalla" w:hAnsi="Sakkal Majalla" w:cs="Sakkal Majalla"/>
          <w:sz w:val="36"/>
          <w:szCs w:val="36"/>
          <w:rtl/>
          <w:lang w:bidi="ar-DZ"/>
        </w:rPr>
        <w:footnoteReference w:id="6"/>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يظهر من خلال هذا التعريف المقابلة التي أجراها ابن الأنباري بين علم اصول النحو وعلم أصول الفقه والتأثير الحاصل بينهما، وأن علم أصول النحو علم ظهر متأخرا و متأثرا بما هو في بيئة الفقهاء، وسبب تأخر البحث في الأصول النحوية عن الفروع أنه من سنن البحث عند العلماء و الفقهاء أن البحث في الفروع يسبق البحث فيها عن الأصول، وهذا ما حدث في الفقه، فلما بحث النحاة في الفروع النحوية ولما نضجت هذه البحوث فكّر العلماء في البحث في أصولها.</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و يمكن استنتاج نتيجة أخرى من هذا التعريف وهي أن النحو العربي نحو عملي في نشأته، انطلق من النصوص العملية و ليس من الأحكام المجردة، ثم انعكس الأمر</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 xml:space="preserve">، هذا يعني ان منطلقات علم النحو كانت عملا ميدانيا إذ ارتحل اللغويون إلى البادية لجمع ما تبقى من لغة فصيحة، وحددوا </w:t>
      </w:r>
      <w:r>
        <w:rPr>
          <w:rFonts w:ascii="Sakkal Majalla" w:hAnsi="Sakkal Majalla" w:cs="Sakkal Majalla"/>
          <w:sz w:val="36"/>
          <w:szCs w:val="36"/>
          <w:rtl/>
          <w:lang w:bidi="ar-DZ"/>
        </w:rPr>
        <w:lastRenderedPageBreak/>
        <w:t>لذلك شروطا زماكانية وأخرى متعلقة باللغوي جامع اللغة، وكانت مصادرهم في ذلك متنوعة منها القرآن الكريم، الحديث النبوي الشريف، وكلام العرب، وبعدما رست الفروع واكتملت صناعة النحو انعكس الأمر فيما بعد  فقد اتخذ علماء الأصول من  المصادر أدلة لهم ليعودوا إليها لإثبات  صحة الاحكام النحوية في زمن لم يعد فيه بدوي فصيح كما ذكر ابن جني، ويمكن أن نصل إلى نتيجة أخرى أن علم النحو عملي تطبيقي ميداني  بينما علم أصول النحو هو علم نظري ينطلق من الاحكام المجردة .</w:t>
      </w:r>
    </w:p>
    <w:p w:rsidR="0065109E" w:rsidRDefault="0065109E" w:rsidP="0065109E">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b/>
          <w:bCs/>
          <w:sz w:val="36"/>
          <w:szCs w:val="36"/>
          <w:rtl/>
          <w:lang w:bidi="ar-DZ"/>
        </w:rPr>
        <w:t xml:space="preserve">تعريف السيوطي لأصول النحو (ت </w:t>
      </w:r>
      <w:r>
        <w:rPr>
          <w:rFonts w:ascii="Sakkal Majalla" w:hAnsi="Sakkal Majalla" w:cs="Sakkal Majalla"/>
          <w:b/>
          <w:bCs/>
          <w:sz w:val="36"/>
          <w:szCs w:val="36"/>
          <w:lang w:bidi="ar-DZ"/>
        </w:rPr>
        <w:t>911</w:t>
      </w:r>
      <w:r>
        <w:rPr>
          <w:rFonts w:ascii="Sakkal Majalla" w:hAnsi="Sakkal Majalla" w:cs="Sakkal Majalla"/>
          <w:b/>
          <w:bCs/>
          <w:sz w:val="36"/>
          <w:szCs w:val="36"/>
          <w:rtl/>
          <w:lang w:bidi="ar-DZ"/>
        </w:rPr>
        <w:t xml:space="preserve">ه) : </w:t>
      </w:r>
      <w:r>
        <w:rPr>
          <w:rFonts w:ascii="Sakkal Majalla" w:hAnsi="Sakkal Majalla" w:cs="Sakkal Majalla"/>
          <w:sz w:val="36"/>
          <w:szCs w:val="36"/>
          <w:rtl/>
          <w:lang w:bidi="ar-DZ"/>
        </w:rPr>
        <w:t>يقول هو "علم يبحث في أدلة النحو الإجمالية من حيث هي أدلته وكيفية الاستدلال بها وحال المستدل".</w:t>
      </w:r>
      <w:r>
        <w:rPr>
          <w:rStyle w:val="FootnoteReference"/>
          <w:rFonts w:ascii="Sakkal Majalla" w:hAnsi="Sakkal Majalla" w:cs="Sakkal Majalla"/>
          <w:sz w:val="36"/>
          <w:szCs w:val="36"/>
          <w:rtl/>
          <w:lang w:bidi="ar-DZ"/>
        </w:rPr>
        <w:footnoteReference w:id="8"/>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يقول السيوطي: "قولي (علم) أي صناعة، فلا يرد ما أورد على التعبيرية في حد أصول الفقه؟، من كونه يلزم عليه فقده اذا فقد العالم به، لأنه صناعة مدونة مقررة وجد العالم به ام لا وقولي (أدلة النحو) يخرج كل صناعة سواه و سوى النحو، وأدلة الغالبة أربعة  "</w:t>
      </w:r>
      <w:r>
        <w:rPr>
          <w:rStyle w:val="FootnoteReference"/>
          <w:rFonts w:ascii="Sakkal Majalla" w:hAnsi="Sakkal Majalla" w:cs="Sakkal Majalla"/>
          <w:sz w:val="36"/>
          <w:szCs w:val="36"/>
          <w:rtl/>
          <w:lang w:bidi="ar-DZ"/>
        </w:rPr>
        <w:footnoteReference w:id="9"/>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-أما (الاجمالية) فيعنى بها احتراز من البحث عن التفصيلية، كالبحث عن دليل خاص بجواز العطف على الضمير المجرور من غير إعادة الجار، و القول (من حيث هي أدلته) بيان لجهة البحث عنها؛  أي  البحث عن القرآن بأنه حجة في النحو، لأنه أفصح الكلام سواء كان متواترا أم آحادا وكذلك  عن الحديث النبوي وكلام من يوثق بعربيته.</w:t>
      </w:r>
      <w:r>
        <w:rPr>
          <w:rStyle w:val="FootnoteReference"/>
          <w:rFonts w:ascii="Sakkal Majalla" w:hAnsi="Sakkal Majalla" w:cs="Sakkal Majalla"/>
          <w:sz w:val="36"/>
          <w:szCs w:val="36"/>
          <w:rtl/>
          <w:lang w:bidi="ar-DZ"/>
        </w:rPr>
        <w:footnoteReference w:id="10"/>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-أما عن كيفية الاستدلال، فالمقصود هنا المنهج ؛ حيث إنه  إذا تعارضت الأدلة لابد أن يعرف المستدل أي دليل يقدم وأقوى العلتين على أضعفهما، وقوله حال المستدل فيقصد به النحوي؛ أي المستنبط للمسائل من الأدلة المذكورة يعني : صفاته وشروطه .</w:t>
      </w:r>
      <w:r>
        <w:rPr>
          <w:rStyle w:val="FootnoteReference"/>
          <w:rFonts w:ascii="Sakkal Majalla" w:hAnsi="Sakkal Majalla" w:cs="Sakkal Majalla"/>
          <w:sz w:val="36"/>
          <w:szCs w:val="36"/>
          <w:rtl/>
          <w:lang w:bidi="ar-DZ"/>
        </w:rPr>
        <w:footnoteReference w:id="11"/>
      </w:r>
      <w:r>
        <w:rPr>
          <w:rFonts w:ascii="Sakkal Majalla" w:hAnsi="Sakkal Majalla" w:cs="Sakkal Majalla"/>
          <w:sz w:val="36"/>
          <w:szCs w:val="36"/>
          <w:rtl/>
          <w:lang w:bidi="ar-DZ"/>
        </w:rPr>
        <w:t xml:space="preserve">العلمية والخلقية.  </w:t>
      </w:r>
    </w:p>
    <w:p w:rsidR="0065109E" w:rsidRDefault="0065109E" w:rsidP="0065109E">
      <w:pPr>
        <w:bidi/>
        <w:jc w:val="both"/>
        <w:rPr>
          <w:rFonts w:ascii="Sakkal Majalla" w:hAnsi="Sakkal Majalla" w:cs="Sakkal Majalla"/>
          <w:sz w:val="36"/>
          <w:szCs w:val="36"/>
          <w:lang w:bidi="ar-DZ"/>
        </w:rPr>
      </w:pPr>
    </w:p>
    <w:p w:rsidR="0065109E" w:rsidRDefault="0065109E" w:rsidP="0065109E">
      <w:pPr>
        <w:bidi/>
        <w:jc w:val="both"/>
        <w:rPr>
          <w:rFonts w:ascii="Sakkal Majalla" w:hAnsi="Sakkal Majalla" w:cs="Sakkal Majalla"/>
          <w:sz w:val="36"/>
          <w:szCs w:val="36"/>
          <w:lang w:bidi="ar-DZ"/>
        </w:rPr>
      </w:pP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b/>
          <w:bCs/>
          <w:sz w:val="36"/>
          <w:szCs w:val="36"/>
          <w:rtl/>
          <w:lang w:bidi="ar-DZ"/>
        </w:rPr>
        <w:lastRenderedPageBreak/>
        <w:t>-</w:t>
      </w:r>
      <w:r>
        <w:rPr>
          <w:rFonts w:ascii="Sakkal Majalla" w:hAnsi="Sakkal Majalla" w:cs="Sakkal Majalla"/>
          <w:b/>
          <w:bCs/>
          <w:sz w:val="36"/>
          <w:szCs w:val="36"/>
          <w:lang w:bidi="ar-DZ"/>
        </w:rPr>
        <w:t>3</w:t>
      </w:r>
      <w:r>
        <w:rPr>
          <w:rFonts w:ascii="Sakkal Majalla" w:hAnsi="Sakkal Majalla" w:cs="Sakkal Majalla"/>
          <w:b/>
          <w:bCs/>
          <w:sz w:val="36"/>
          <w:szCs w:val="36"/>
          <w:rtl/>
          <w:lang w:bidi="ar-DZ"/>
        </w:rPr>
        <w:t>علاقة أصول النحو بأصول الفقه:</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إن علم الأصول من العلوم التي نشأت في أوج الحضارة العربية الاسلامية، وكانت تهدف إلى وضع القوانين التي تكون أساسا لاستنباط الأحكام التي تتجدد بتجدد الأحداث حسب تطور الزمان، ولهذا كان من الضروري على كل مقرر لحكم من الأحكام أن يكون على دراية كافية بطرائق الاستنباط والاحتجاج والأدلة لما يرد الحكم فيه.</w:t>
      </w:r>
    </w:p>
    <w:p w:rsidR="0065109E" w:rsidRDefault="0065109E" w:rsidP="0065109E">
      <w:p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3-</w:t>
      </w:r>
      <w:r>
        <w:rPr>
          <w:rFonts w:ascii="Sakkal Majalla" w:hAnsi="Sakkal Majalla" w:cs="Sakkal Majalla"/>
          <w:b/>
          <w:bCs/>
          <w:sz w:val="36"/>
          <w:szCs w:val="36"/>
          <w:lang w:bidi="ar-DZ"/>
        </w:rPr>
        <w:t>1</w:t>
      </w:r>
      <w:r>
        <w:rPr>
          <w:rFonts w:ascii="Sakkal Majalla" w:hAnsi="Sakkal Majalla" w:cs="Sakkal Majalla"/>
          <w:b/>
          <w:bCs/>
          <w:sz w:val="36"/>
          <w:szCs w:val="36"/>
          <w:rtl/>
          <w:lang w:bidi="ar-DZ"/>
        </w:rPr>
        <w:t xml:space="preserve">تعريف علم أصول الفقه: </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الفقه في اللغة « عبارة عن الفهم، ومنه قوله تعالى ﴿قَالُوا يا شَعَيبَ مَا نَفْقَهُ كَثِيرًا مِمَّا تَقُول﴾ </w:t>
      </w:r>
      <w:r>
        <w:rPr>
          <w:rStyle w:val="FootnoteReference"/>
          <w:rFonts w:ascii="Sakkal Majalla" w:hAnsi="Sakkal Majalla" w:cs="Sakkal Majalla"/>
          <w:sz w:val="36"/>
          <w:szCs w:val="36"/>
          <w:rtl/>
          <w:lang w:bidi="ar-DZ"/>
        </w:rPr>
        <w:footnoteReference w:id="12"/>
      </w:r>
      <w:r>
        <w:rPr>
          <w:rFonts w:ascii="Sakkal Majalla" w:hAnsi="Sakkal Majalla" w:cs="Sakkal Majalla"/>
          <w:sz w:val="36"/>
          <w:szCs w:val="36"/>
          <w:rtl/>
          <w:lang w:bidi="ar-DZ"/>
        </w:rPr>
        <w:t>؛ أي لا نفهم ...وقيل هو العلم، والأشبه أن الفهم مغاير للعلم، إذ الفهم عبارة عن جودة الذهن...وإن لم يكن المتصف به عالما...و في عرف المشرّعين، الفقه مخصوص بالعلم الحاصل بجملة من الأحكام الشرعية الفرعية بالنظر والاستدلال».</w:t>
      </w:r>
      <w:r>
        <w:rPr>
          <w:rStyle w:val="FootnoteReference"/>
          <w:rFonts w:ascii="Sakkal Majalla" w:hAnsi="Sakkal Majalla" w:cs="Sakkal Majalla"/>
          <w:sz w:val="36"/>
          <w:szCs w:val="36"/>
          <w:rtl/>
          <w:lang w:bidi="ar-DZ"/>
        </w:rPr>
        <w:footnoteReference w:id="13"/>
      </w:r>
      <w:r>
        <w:rPr>
          <w:rFonts w:ascii="Sakkal Majalla" w:hAnsi="Sakkal Majalla" w:cs="Sakkal Majalla"/>
          <w:sz w:val="36"/>
          <w:szCs w:val="36"/>
          <w:rtl/>
          <w:lang w:bidi="ar-DZ"/>
        </w:rPr>
        <w:t xml:space="preserve"> وأما</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3-</w:t>
      </w:r>
      <w:r>
        <w:rPr>
          <w:rFonts w:ascii="Sakkal Majalla" w:hAnsi="Sakkal Majalla" w:cs="Sakkal Majalla"/>
          <w:sz w:val="36"/>
          <w:szCs w:val="36"/>
          <w:lang w:bidi="ar-DZ"/>
        </w:rPr>
        <w:t>-2</w:t>
      </w:r>
      <w:r>
        <w:rPr>
          <w:rFonts w:ascii="Sakkal Majalla" w:hAnsi="Sakkal Majalla" w:cs="Sakkal Majalla"/>
          <w:b/>
          <w:bCs/>
          <w:sz w:val="36"/>
          <w:szCs w:val="36"/>
          <w:rtl/>
          <w:lang w:bidi="ar-DZ"/>
        </w:rPr>
        <w:t xml:space="preserve"> أصول الفقه:</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هي أدلة الفقه وجهات دلالتها على الأحكام الشرعية وكيفية حال المستدل بها من جهة الجملة لا من جهة التفصيل، وأما موضوع أصول الفقه، فهو الشيء الذي يبحث في ذلك العلم عن أحواله العارضة لذاته. وأما علم الأصول، فالأصول إلى معرفة الأحكام الشرعية...وأما مسائله فهي أحوال الأدلة المبحوث عنها فيه.</w:t>
      </w:r>
      <w:r>
        <w:rPr>
          <w:rStyle w:val="FootnoteReference"/>
          <w:rFonts w:ascii="Sakkal Majalla" w:hAnsi="Sakkal Majalla" w:cs="Sakkal Majalla"/>
          <w:sz w:val="36"/>
          <w:szCs w:val="36"/>
          <w:rtl/>
          <w:lang w:bidi="ar-DZ"/>
        </w:rPr>
        <w:footnoteReference w:id="14"/>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وهذا التعريف يكاد يتقاطع مع تعريف علم أصول النحو؛ فكلاهما يبحث في ثلاثة أمور أساسية : الأدلة ، كيفية الاستدلال ، وحال المستدل. و أول من وضع للفقه أصولا هو الإمام الشافعي -رحمه الله-.</w:t>
      </w:r>
    </w:p>
    <w:p w:rsidR="0065109E" w:rsidRDefault="0065109E" w:rsidP="0065109E">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3</w:t>
      </w:r>
      <w:r>
        <w:rPr>
          <w:rFonts w:ascii="Sakkal Majalla" w:hAnsi="Sakkal Majalla" w:cs="Sakkal Majalla"/>
          <w:b/>
          <w:bCs/>
          <w:sz w:val="36"/>
          <w:szCs w:val="36"/>
          <w:rtl/>
          <w:lang w:bidi="ar-DZ"/>
        </w:rPr>
        <w:t xml:space="preserve">- التأثير بالمنهج والمصطلح: </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سار علماء أصول النحو على خطى علماء الأصول في منهجهم وذلك بوضع شروط علمية خاصة بالمادة المروية وكيفية نقلها، والحرص على تطبيق هذه الشروط، كما ساهم البحث في  الأدلة عن معرفة أقوى الأدلة من أضعفها، وفي حال تعارض الأدلة أي الدليل أولى من الآخر.</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كذلك يتفق و يتطابق العلمان في تحديد الشروط المتعلقة بحال المستدل، بأن يكون عالما عارفا، عادلا ، ثقة، موضوعا، وغيرها من الصفات التي تجب أن يتحلى بها عالم أصول النحو.</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وقد أخذ علم أصول النحو عن علم أصول الفقه موضوعاته كالحديث عن العلة وأنواعها والقياس و أنواعه وأركانه والأحكام وأنواعها وتقسيماتها.</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إلا أنه يجب أن نضع بعض الفروق الدقيقة بين بعض المصطلحات:</w:t>
      </w:r>
    </w:p>
    <w:p w:rsidR="0065109E" w:rsidRDefault="0065109E" w:rsidP="0065109E">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b/>
          <w:bCs/>
          <w:sz w:val="36"/>
          <w:szCs w:val="36"/>
          <w:rtl/>
          <w:lang w:bidi="ar-DZ"/>
        </w:rPr>
        <w:t>القياس النحوي والقياس الفقهي:</w:t>
      </w:r>
      <w:r>
        <w:rPr>
          <w:rFonts w:ascii="Sakkal Majalla" w:hAnsi="Sakkal Majalla" w:cs="Sakkal Majalla"/>
          <w:sz w:val="36"/>
          <w:szCs w:val="36"/>
          <w:rtl/>
          <w:lang w:bidi="ar-DZ"/>
        </w:rPr>
        <w:t>يحد النحاة علم أصول النحو بقولهم : "هو علم استخرجه المتقدمون فيه من استقراء كلام العرب"</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sz w:val="36"/>
          <w:szCs w:val="36"/>
          <w:rtl/>
          <w:lang w:bidi="ar-DZ"/>
        </w:rPr>
        <w:t>فالقياس النحوي قائم على الاستقراء، أما القياس الفقهي فالأمر يختلف، فهو عندهم عملية اجتهادية لا تعتمد على الاستقراء و ذلك لأن المشرع عند الفقهاء واحد و نصوصه معروفة كتاب الله ، وسنة الرسول صلى الله عليه وسلم.، أي إنه ينطلق من الأحكام المجردة لا من النصوص المسموعة.</w:t>
      </w:r>
    </w:p>
    <w:p w:rsidR="0065109E" w:rsidRDefault="0065109E" w:rsidP="0065109E">
      <w:pPr>
        <w:bidi/>
        <w:jc w:val="both"/>
        <w:rPr>
          <w:rFonts w:ascii="Sakkal Majalla" w:hAnsi="Sakkal Majalla" w:cs="Sakkal Majalla"/>
          <w:sz w:val="36"/>
          <w:szCs w:val="36"/>
          <w:lang w:bidi="ar-DZ"/>
        </w:rPr>
      </w:pPr>
      <w:r>
        <w:rPr>
          <w:rFonts w:ascii="Sakkal Majalla" w:hAnsi="Sakkal Majalla" w:cs="Sakkal Majalla"/>
          <w:b/>
          <w:bCs/>
          <w:sz w:val="36"/>
          <w:szCs w:val="36"/>
          <w:rtl/>
          <w:lang w:bidi="ar-DZ"/>
        </w:rPr>
        <w:t xml:space="preserve">-الإجماع: </w:t>
      </w:r>
      <w:r>
        <w:rPr>
          <w:rFonts w:ascii="Sakkal Majalla" w:hAnsi="Sakkal Majalla" w:cs="Sakkal Majalla"/>
          <w:sz w:val="36"/>
          <w:szCs w:val="36"/>
          <w:rtl/>
          <w:lang w:bidi="ar-DZ"/>
        </w:rPr>
        <w:t>فرّق ابن جني بين الإجماع في اللغة والإجماع في الفقه، فيرى أن الأول غير ملزم للمخالف، ويرى الثاني ملزما، والأصل عند النحاة ثلاثة أنواع: إجماع العرب، وإجماع البلدين، والاجماع السكوتي.</w:t>
      </w:r>
    </w:p>
    <w:p w:rsidR="0065109E" w:rsidRDefault="0065109E" w:rsidP="0065109E">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إجماع العرب: يقصد به السماع من العرب فيكفي أن يمثله قبيلة او قبيلتان.</w:t>
      </w:r>
    </w:p>
    <w:p w:rsidR="0065109E" w:rsidRDefault="0065109E" w:rsidP="0065109E">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إجماع البلدين البصرة و الكوفة ومن اجمعوا عليه.</w:t>
      </w:r>
    </w:p>
    <w:p w:rsidR="0065109E" w:rsidRDefault="0065109E" w:rsidP="0065109E">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الإجماع السكوتي: شكل من أشكال إجماع العرب، وعرّفه سيبويه بقوله: (أن يتكلم العربي بشيء، و يبلغهم ....... ويسكتون عليه</w:t>
      </w:r>
      <w:bookmarkStart w:id="0" w:name="_GoBack"/>
      <w:bookmarkEnd w:id="0"/>
      <w:r>
        <w:rPr>
          <w:rFonts w:ascii="Sakkal Majalla" w:hAnsi="Sakkal Majalla" w:cs="Sakkal Majalla"/>
          <w:sz w:val="36"/>
          <w:szCs w:val="36"/>
          <w:rtl/>
          <w:lang w:bidi="ar-DZ"/>
        </w:rPr>
        <w:t>),</w:t>
      </w:r>
    </w:p>
    <w:p w:rsidR="0065109E" w:rsidRDefault="0065109E" w:rsidP="0065109E">
      <w:pPr>
        <w:bidi/>
        <w:jc w:val="both"/>
        <w:rPr>
          <w:rFonts w:ascii="Sakkal Majalla" w:hAnsi="Sakkal Majalla" w:cs="Sakkal Majalla"/>
          <w:sz w:val="36"/>
          <w:szCs w:val="36"/>
          <w:rtl/>
          <w:lang w:bidi="ar-DZ"/>
        </w:rPr>
      </w:pPr>
    </w:p>
    <w:sectPr w:rsidR="0065109E" w:rsidSect="0065109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F4A" w:rsidRDefault="00844F4A" w:rsidP="0065109E">
      <w:pPr>
        <w:spacing w:after="0" w:line="240" w:lineRule="auto"/>
      </w:pPr>
      <w:r>
        <w:separator/>
      </w:r>
    </w:p>
  </w:endnote>
  <w:endnote w:type="continuationSeparator" w:id="1">
    <w:p w:rsidR="00844F4A" w:rsidRDefault="00844F4A" w:rsidP="006510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F4A" w:rsidRDefault="00844F4A" w:rsidP="0065109E">
      <w:pPr>
        <w:spacing w:after="0" w:line="240" w:lineRule="auto"/>
      </w:pPr>
      <w:r>
        <w:separator/>
      </w:r>
    </w:p>
  </w:footnote>
  <w:footnote w:type="continuationSeparator" w:id="1">
    <w:p w:rsidR="00844F4A" w:rsidRDefault="00844F4A" w:rsidP="0065109E">
      <w:pPr>
        <w:spacing w:after="0" w:line="240" w:lineRule="auto"/>
      </w:pPr>
      <w:r>
        <w:continuationSeparator/>
      </w:r>
    </w:p>
  </w:footnote>
  <w:footnote w:id="2">
    <w:p w:rsidR="0065109E" w:rsidRDefault="0065109E" w:rsidP="0065109E">
      <w:pPr>
        <w:pStyle w:val="FootnoteText"/>
        <w:jc w:val="right"/>
        <w:rPr>
          <w:rFonts w:ascii="Sakkal Majalla" w:hAnsi="Sakkal Majalla" w:cs="Sakkal Majalla"/>
          <w:sz w:val="24"/>
          <w:szCs w:val="24"/>
          <w:rtl/>
          <w:lang w:bidi="ar-DZ"/>
        </w:rPr>
      </w:pPr>
      <w:r>
        <w:rPr>
          <w:rStyle w:val="FootnoteCharacters"/>
        </w:rPr>
        <w:footnoteRef/>
      </w:r>
      <w:r>
        <w:rPr>
          <w:rFonts w:ascii="Sakkal Majalla" w:hAnsi="Sakkal Majalla" w:cs="Sakkal Majalla"/>
          <w:sz w:val="24"/>
          <w:szCs w:val="24"/>
          <w:rtl/>
        </w:rPr>
        <w:t xml:space="preserve">ابن جني : الخصائص ج </w:t>
      </w:r>
      <w:r>
        <w:rPr>
          <w:rFonts w:ascii="Sakkal Majalla" w:hAnsi="Sakkal Majalla" w:cs="Sakkal Majalla"/>
          <w:sz w:val="24"/>
          <w:szCs w:val="24"/>
        </w:rPr>
        <w:t>1</w:t>
      </w:r>
      <w:r>
        <w:rPr>
          <w:rFonts w:ascii="Sakkal Majalla" w:hAnsi="Sakkal Majalla" w:cs="Sakkal Majalla" w:hint="cs"/>
          <w:sz w:val="24"/>
          <w:szCs w:val="24"/>
          <w:rtl/>
        </w:rPr>
        <w:t>، ص</w:t>
      </w:r>
      <w:r>
        <w:rPr>
          <w:rFonts w:ascii="Traditional Arabic" w:hAnsi="Traditional Arabic" w:cs="Traditional Arabic"/>
          <w:sz w:val="24"/>
          <w:szCs w:val="24"/>
        </w:rPr>
        <w:t>2</w:t>
      </w:r>
    </w:p>
  </w:footnote>
  <w:footnote w:id="3">
    <w:p w:rsidR="0065109E" w:rsidRDefault="0065109E" w:rsidP="0065109E">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lang w:bidi="ar-DZ"/>
        </w:rPr>
        <w:t>ينظر حامد ناصر الظالمي: أصول الفكر اللغوي العربي في دراسات القدماء والمحدثين، دراسة في البنية و المنهج، ،</w:t>
      </w:r>
      <w:r>
        <w:rPr>
          <w:rFonts w:ascii="Sakkal Majalla" w:hAnsi="Sakkal Majalla" w:cs="Sakkal Majalla"/>
          <w:sz w:val="24"/>
          <w:szCs w:val="24"/>
          <w:lang w:bidi="ar-DZ"/>
        </w:rPr>
        <w:t>2001</w:t>
      </w:r>
      <w:r>
        <w:rPr>
          <w:rFonts w:ascii="Sakkal Majalla" w:hAnsi="Sakkal Majalla" w:cs="Sakkal Majalla"/>
          <w:sz w:val="24"/>
          <w:szCs w:val="24"/>
          <w:rtl/>
          <w:lang w:bidi="ar-DZ"/>
        </w:rPr>
        <w:t xml:space="preserve">،  ص </w:t>
      </w:r>
      <w:r>
        <w:rPr>
          <w:rFonts w:ascii="Sakkal Majalla" w:hAnsi="Sakkal Majalla" w:cs="Sakkal Majalla"/>
          <w:sz w:val="24"/>
          <w:szCs w:val="24"/>
        </w:rPr>
        <w:t>77</w:t>
      </w:r>
    </w:p>
  </w:footnote>
  <w:footnote w:id="4">
    <w:p w:rsidR="0065109E" w:rsidRDefault="0065109E" w:rsidP="0065109E">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محمد خان:فصول النحو العربي، جامعة محمد خيضر بسكرة، </w:t>
      </w:r>
      <w:r>
        <w:rPr>
          <w:rFonts w:ascii="Sakkal Majalla" w:hAnsi="Sakkal Majalla" w:cs="Sakkal Majalla"/>
          <w:sz w:val="24"/>
          <w:szCs w:val="24"/>
        </w:rPr>
        <w:t>2012</w:t>
      </w:r>
      <w:r>
        <w:rPr>
          <w:rFonts w:ascii="Sakkal Majalla" w:hAnsi="Sakkal Majalla" w:cs="Sakkal Majalla"/>
          <w:sz w:val="24"/>
          <w:szCs w:val="24"/>
          <w:rtl/>
        </w:rPr>
        <w:t>م ،ص</w:t>
      </w:r>
      <w:r>
        <w:rPr>
          <w:rFonts w:ascii="Sakkal Majalla" w:hAnsi="Sakkal Majalla" w:cs="Sakkal Majalla"/>
          <w:sz w:val="24"/>
          <w:szCs w:val="24"/>
        </w:rPr>
        <w:t>14.</w:t>
      </w:r>
    </w:p>
  </w:footnote>
  <w:footnote w:id="5">
    <w:p w:rsidR="0065109E" w:rsidRDefault="0065109E" w:rsidP="0065109E">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لمع الادلة في اصول النحو، ص .</w:t>
      </w:r>
      <w:r>
        <w:rPr>
          <w:rFonts w:ascii="Sakkal Majalla" w:hAnsi="Sakkal Majalla" w:cs="Sakkal Majalla"/>
          <w:sz w:val="24"/>
          <w:szCs w:val="24"/>
        </w:rPr>
        <w:t>70</w:t>
      </w:r>
    </w:p>
  </w:footnote>
  <w:footnote w:id="6">
    <w:p w:rsidR="0065109E" w:rsidRDefault="0065109E" w:rsidP="0065109E">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lang w:bidi="ar-DZ"/>
        </w:rPr>
        <w:t xml:space="preserve">المصدر نفسه، ص </w:t>
      </w:r>
      <w:r>
        <w:rPr>
          <w:rFonts w:ascii="Sakkal Majalla" w:hAnsi="Sakkal Majalla" w:cs="Sakkal Majalla"/>
          <w:sz w:val="24"/>
          <w:szCs w:val="24"/>
          <w:lang w:bidi="ar-DZ"/>
        </w:rPr>
        <w:t>71</w:t>
      </w:r>
    </w:p>
  </w:footnote>
  <w:footnote w:id="7">
    <w:p w:rsidR="0065109E" w:rsidRDefault="0065109E" w:rsidP="0065109E">
      <w:pPr>
        <w:pStyle w:val="FootnoteText"/>
        <w:jc w:val="right"/>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محمد خان، أصول النحو العربي، ص </w:t>
      </w:r>
      <w:r>
        <w:rPr>
          <w:rFonts w:ascii="Sakkal Majalla" w:hAnsi="Sakkal Majalla" w:cs="Sakkal Majalla"/>
          <w:sz w:val="24"/>
          <w:szCs w:val="24"/>
        </w:rPr>
        <w:t>15</w:t>
      </w:r>
    </w:p>
  </w:footnote>
  <w:footnote w:id="8">
    <w:p w:rsidR="0065109E" w:rsidRDefault="0065109E" w:rsidP="0065109E">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السيوطي: الاقتراح في علم اصول النحو، ضبطه و علق عليه عبد الحكيم عطية ، دار البيروتي، ط 2، </w:t>
      </w:r>
      <w:r>
        <w:rPr>
          <w:rFonts w:ascii="Sakkal Majalla" w:hAnsi="Sakkal Majalla" w:cs="Sakkal Majalla"/>
          <w:sz w:val="24"/>
          <w:szCs w:val="24"/>
        </w:rPr>
        <w:t>2006</w:t>
      </w:r>
      <w:r>
        <w:rPr>
          <w:rFonts w:ascii="Sakkal Majalla" w:hAnsi="Sakkal Majalla" w:cs="Sakkal Majalla"/>
          <w:sz w:val="24"/>
          <w:szCs w:val="24"/>
          <w:rtl/>
        </w:rPr>
        <w:t xml:space="preserve">، ص </w:t>
      </w:r>
      <w:r>
        <w:rPr>
          <w:rFonts w:ascii="Sakkal Majalla" w:hAnsi="Sakkal Majalla" w:cs="Sakkal Majalla"/>
          <w:sz w:val="24"/>
          <w:szCs w:val="24"/>
        </w:rPr>
        <w:t>21</w:t>
      </w:r>
    </w:p>
  </w:footnote>
  <w:footnote w:id="9">
    <w:p w:rsidR="0065109E" w:rsidRDefault="0065109E" w:rsidP="0065109E">
      <w:pPr>
        <w:pStyle w:val="FootnoteText"/>
        <w:jc w:val="right"/>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المصدر نفسه ، ص </w:t>
      </w:r>
      <w:r>
        <w:rPr>
          <w:rFonts w:ascii="Sakkal Majalla" w:hAnsi="Sakkal Majalla" w:cs="Sakkal Majalla"/>
          <w:sz w:val="24"/>
          <w:szCs w:val="24"/>
        </w:rPr>
        <w:t>21</w:t>
      </w:r>
    </w:p>
  </w:footnote>
  <w:footnote w:id="10">
    <w:p w:rsidR="0065109E" w:rsidRDefault="0065109E" w:rsidP="0065109E">
      <w:pPr>
        <w:pStyle w:val="FootnoteText"/>
        <w:jc w:val="right"/>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السيوطي: الاقتراح في علم اصول النحو ، ص</w:t>
      </w:r>
      <w:r>
        <w:rPr>
          <w:rFonts w:ascii="Sakkal Majalla" w:hAnsi="Sakkal Majalla" w:cs="Sakkal Majalla"/>
          <w:sz w:val="24"/>
          <w:szCs w:val="24"/>
        </w:rPr>
        <w:t>22</w:t>
      </w:r>
    </w:p>
  </w:footnote>
  <w:footnote w:id="11">
    <w:p w:rsidR="0065109E" w:rsidRDefault="0065109E" w:rsidP="0065109E">
      <w:pPr>
        <w:pStyle w:val="FootnoteText"/>
        <w:jc w:val="right"/>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المصدر نفسه ، ص</w:t>
      </w:r>
      <w:r>
        <w:rPr>
          <w:rFonts w:ascii="Sakkal Majalla" w:hAnsi="Sakkal Majalla" w:cs="Sakkal Majalla"/>
          <w:sz w:val="24"/>
          <w:szCs w:val="24"/>
        </w:rPr>
        <w:t>23</w:t>
      </w:r>
    </w:p>
  </w:footnote>
  <w:footnote w:id="12">
    <w:p w:rsidR="0065109E" w:rsidRDefault="0065109E" w:rsidP="0065109E">
      <w:pPr>
        <w:pStyle w:val="FootnoteText"/>
        <w:bidi/>
        <w:rPr>
          <w:lang w:bidi="ar-DZ"/>
        </w:rPr>
      </w:pPr>
      <w:r>
        <w:rPr>
          <w:rStyle w:val="FootnoteCharacters"/>
        </w:rPr>
        <w:footnoteRef/>
      </w:r>
      <w:r>
        <w:rPr>
          <w:rtl/>
          <w:lang w:bidi="ar-DZ"/>
        </w:rPr>
        <w:t xml:space="preserve">هود الآية </w:t>
      </w:r>
      <w:r>
        <w:rPr>
          <w:lang w:bidi="ar-DZ"/>
        </w:rPr>
        <w:t>91</w:t>
      </w:r>
      <w:r>
        <w:rPr>
          <w:rtl/>
          <w:lang w:bidi="ar-DZ"/>
        </w:rPr>
        <w:t>.</w:t>
      </w:r>
    </w:p>
  </w:footnote>
  <w:footnote w:id="13">
    <w:p w:rsidR="0065109E" w:rsidRDefault="0065109E" w:rsidP="0065109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الامدي ( علي بن محمد): الأحكام في أصول الأحكام ، تعليق عبد الرزاق عفيفي، المكتب الاسلامي ج </w:t>
      </w:r>
      <w:r>
        <w:rPr>
          <w:rFonts w:ascii="Traditional Arabic" w:hAnsi="Traditional Arabic" w:cs="Traditional Arabic"/>
          <w:sz w:val="28"/>
          <w:szCs w:val="28"/>
        </w:rPr>
        <w:t>1</w:t>
      </w:r>
      <w:r>
        <w:rPr>
          <w:rFonts w:ascii="Traditional Arabic" w:hAnsi="Traditional Arabic" w:cs="Traditional Arabic"/>
          <w:sz w:val="28"/>
          <w:szCs w:val="28"/>
          <w:rtl/>
        </w:rPr>
        <w:t xml:space="preserve">، ص </w:t>
      </w:r>
      <w:r>
        <w:rPr>
          <w:rFonts w:ascii="Traditional Arabic" w:hAnsi="Traditional Arabic" w:cs="Traditional Arabic"/>
          <w:sz w:val="28"/>
          <w:szCs w:val="28"/>
        </w:rPr>
        <w:t>6</w:t>
      </w:r>
    </w:p>
  </w:footnote>
  <w:footnote w:id="14">
    <w:p w:rsidR="0065109E" w:rsidRDefault="0065109E" w:rsidP="0065109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 الأحكام في أصول الأحكام ، ج</w:t>
      </w:r>
      <w:r>
        <w:rPr>
          <w:rFonts w:ascii="Traditional Arabic" w:hAnsi="Traditional Arabic" w:cs="Traditional Arabic"/>
          <w:sz w:val="28"/>
          <w:szCs w:val="28"/>
        </w:rPr>
        <w:t>1</w:t>
      </w:r>
      <w:r>
        <w:rPr>
          <w:rFonts w:ascii="Traditional Arabic" w:hAnsi="Traditional Arabic" w:cs="Traditional Arabic"/>
          <w:sz w:val="28"/>
          <w:szCs w:val="28"/>
          <w:rtl/>
        </w:rPr>
        <w:t xml:space="preserve">، ص </w:t>
      </w:r>
      <w:r>
        <w:rPr>
          <w:rFonts w:ascii="Traditional Arabic" w:hAnsi="Traditional Arabic" w:cs="Traditional Arabic"/>
          <w:sz w:val="28"/>
          <w:szCs w:val="28"/>
        </w:rPr>
        <w:t>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001FA"/>
    <w:multiLevelType w:val="multilevel"/>
    <w:tmpl w:val="6890B562"/>
    <w:lvl w:ilvl="0">
      <w:start w:val="3"/>
      <w:numFmt w:val="bullet"/>
      <w:lvlText w:val="-"/>
      <w:lvlJc w:val="left"/>
      <w:pPr>
        <w:tabs>
          <w:tab w:val="num" w:pos="0"/>
        </w:tabs>
        <w:ind w:left="720" w:hanging="360"/>
      </w:pPr>
      <w:rPr>
        <w:rFonts w:ascii="Traditional Arabic" w:eastAsiaTheme="minorHAnsi" w:hAnsi="Traditional Arabic" w:cs="Traditional Arab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3B197A63"/>
    <w:multiLevelType w:val="multilevel"/>
    <w:tmpl w:val="DA08F316"/>
    <w:lvl w:ilvl="0">
      <w:start w:val="3"/>
      <w:numFmt w:val="bullet"/>
      <w:lvlText w:val="-"/>
      <w:lvlJc w:val="left"/>
      <w:pPr>
        <w:tabs>
          <w:tab w:val="num" w:pos="0"/>
        </w:tabs>
        <w:ind w:left="720" w:hanging="360"/>
      </w:pPr>
      <w:rPr>
        <w:rFonts w:ascii="Traditional Arabic" w:eastAsiaTheme="minorHAnsi" w:hAnsi="Traditional Arabic" w:cs="Traditional Arabic"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7976773B"/>
    <w:multiLevelType w:val="multilevel"/>
    <w:tmpl w:val="CF7E91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65109E"/>
    <w:rsid w:val="0002034F"/>
    <w:rsid w:val="0065109E"/>
    <w:rsid w:val="00844F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09E"/>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109E"/>
    <w:pPr>
      <w:ind w:left="720"/>
      <w:contextualSpacing/>
    </w:pPr>
  </w:style>
  <w:style w:type="character" w:customStyle="1" w:styleId="NotedebasdepageCar">
    <w:name w:val="Note de bas de page Car"/>
    <w:basedOn w:val="Policepardfaut"/>
    <w:link w:val="FootnoteText"/>
    <w:uiPriority w:val="99"/>
    <w:qFormat/>
    <w:locked/>
    <w:rsid w:val="0065109E"/>
    <w:rPr>
      <w:sz w:val="20"/>
      <w:szCs w:val="20"/>
    </w:rPr>
  </w:style>
  <w:style w:type="paragraph" w:customStyle="1" w:styleId="FootnoteText">
    <w:name w:val="Footnote Text"/>
    <w:basedOn w:val="Normal"/>
    <w:link w:val="NotedebasdepageCar"/>
    <w:uiPriority w:val="99"/>
    <w:rsid w:val="0065109E"/>
    <w:pPr>
      <w:spacing w:after="0" w:line="240" w:lineRule="auto"/>
    </w:pPr>
    <w:rPr>
      <w:sz w:val="20"/>
      <w:szCs w:val="20"/>
    </w:rPr>
  </w:style>
  <w:style w:type="character" w:customStyle="1" w:styleId="FootnoteCharacters">
    <w:name w:val="Footnote Characters"/>
    <w:basedOn w:val="Policepardfaut"/>
    <w:uiPriority w:val="99"/>
    <w:qFormat/>
    <w:rsid w:val="0065109E"/>
    <w:rPr>
      <w:vertAlign w:val="superscript"/>
    </w:rPr>
  </w:style>
  <w:style w:type="character" w:customStyle="1" w:styleId="FootnoteReference">
    <w:name w:val="Footnote Reference"/>
    <w:rsid w:val="0065109E"/>
    <w:rPr>
      <w:vertAlign w:val="superscript"/>
    </w:rPr>
  </w:style>
</w:styles>
</file>

<file path=word/webSettings.xml><?xml version="1.0" encoding="utf-8"?>
<w:webSettings xmlns:r="http://schemas.openxmlformats.org/officeDocument/2006/relationships" xmlns:w="http://schemas.openxmlformats.org/wordprocessingml/2006/main">
  <w:divs>
    <w:div w:id="20545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1114</Words>
  <Characters>6131</Characters>
  <Application>Microsoft Office Word</Application>
  <DocSecurity>0</DocSecurity>
  <Lines>51</Lines>
  <Paragraphs>14</Paragraphs>
  <ScaleCrop>false</ScaleCrop>
  <Company/>
  <LinksUpToDate>false</LinksUpToDate>
  <CharactersWithSpaces>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2026-03-05T09:25:00Z</dcterms:created>
  <dcterms:modified xsi:type="dcterms:W3CDTF">2026-03-05T09:30:00Z</dcterms:modified>
</cp:coreProperties>
</file>