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035" w:rsidRPr="00F3278B" w:rsidRDefault="000F6035" w:rsidP="000F6035">
      <w:pPr>
        <w:bidi/>
        <w:spacing w:line="276" w:lineRule="auto"/>
        <w:ind w:firstLine="566"/>
        <w:jc w:val="center"/>
        <w:rPr>
          <w:rFonts w:ascii="Simplified Arabic" w:hAnsi="Simplified Arabic" w:cs="Simplified Arabic"/>
          <w:b/>
          <w:bCs/>
          <w:sz w:val="32"/>
          <w:szCs w:val="32"/>
          <w:rtl/>
          <w:lang w:bidi="ar-DZ"/>
        </w:rPr>
      </w:pPr>
      <w:r w:rsidRPr="00F3278B">
        <w:rPr>
          <w:rFonts w:ascii="Simplified Arabic" w:hAnsi="Simplified Arabic" w:cs="Simplified Arabic" w:hint="cs"/>
          <w:b/>
          <w:bCs/>
          <w:sz w:val="32"/>
          <w:szCs w:val="32"/>
          <w:rtl/>
          <w:lang w:bidi="ar-DZ"/>
        </w:rPr>
        <w:t>المحاضرة 05: فلسفة الل</w:t>
      </w:r>
      <w:r>
        <w:rPr>
          <w:rFonts w:ascii="Simplified Arabic" w:hAnsi="Simplified Arabic" w:cs="Simplified Arabic" w:hint="cs"/>
          <w:b/>
          <w:bCs/>
          <w:sz w:val="32"/>
          <w:szCs w:val="32"/>
          <w:rtl/>
          <w:lang w:bidi="ar-DZ"/>
        </w:rPr>
        <w:t>ّ</w:t>
      </w:r>
      <w:r w:rsidRPr="00F3278B">
        <w:rPr>
          <w:rFonts w:ascii="Simplified Arabic" w:hAnsi="Simplified Arabic" w:cs="Simplified Arabic" w:hint="cs"/>
          <w:b/>
          <w:bCs/>
          <w:sz w:val="32"/>
          <w:szCs w:val="32"/>
          <w:rtl/>
          <w:lang w:bidi="ar-DZ"/>
        </w:rPr>
        <w:t>غة عند العرب 2</w:t>
      </w:r>
      <w:r>
        <w:rPr>
          <w:rFonts w:ascii="Simplified Arabic" w:hAnsi="Simplified Arabic" w:cs="Simplified Arabic" w:hint="cs"/>
          <w:b/>
          <w:bCs/>
          <w:sz w:val="32"/>
          <w:szCs w:val="32"/>
          <w:rtl/>
          <w:lang w:bidi="ar-DZ"/>
        </w:rPr>
        <w:t>:</w:t>
      </w:r>
      <w:r w:rsidRPr="00F3278B">
        <w:rPr>
          <w:rFonts w:ascii="Simplified Arabic" w:hAnsi="Simplified Arabic" w:cs="Simplified Arabic" w:hint="cs"/>
          <w:b/>
          <w:bCs/>
          <w:sz w:val="32"/>
          <w:szCs w:val="32"/>
          <w:rtl/>
          <w:lang w:bidi="ar-DZ"/>
        </w:rPr>
        <w:t xml:space="preserve"> الفارابي، ابن سينا، ابن رشد</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لقد أدرك فلاسفة اللّغة أهمية وقيمة اللّغة وضرورة الإحاطة بها لإمساك ناصيتها، وقد كان (الفارابي) من أوائل فلاسفة العرب المسلمين الّذين كان لهم الأثر الواضح في دراسة اللّغة وتناول قضاياها بالدّرس والتّحليل؛ حيث استطاع أن يطوّع اللّغة لسائر الأغراض المنطقية، والفلسفية، والعلمية.</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xml:space="preserve">والجدير بالذّكر أنّ المفكرين المسلمين رغم تأثرهم بالفكر اليوناني إلاّ أنّهم لم يكونوا مجرّد مقلّدين لذاك الفكر، وإنّما كانت لهم إسهامات، وإضافات، ومواقف مهمة في ذلك المجال، بما فيه علم الكلام وفلسفة الإغريق؛ حيث سعى السّلف إلى توثيق علاقة العربية بالمنطق كمنطلق أو منعطفا إن صحّ التّعبير في توثيق علاقة اللّغة بالمعرفة،و قد قال عبد الرحمن بدوي بهذا الشّأن: "إنّ فضل العرب على التّراث اليوناني أكبر من فضل أيّة أمّة أخرى، لقد كان العقل العربي متفتحا لكلّ ألوان الثّقافات العالمية تفتّحا لا يحدّه شيئا، ولا يقف في سبيله أيّ تزمّت، ولا تعصّب، ولا ضيق نظر، وهو العامل الأكبر في ازدهار الحضارة العربية الإسلامية هذا الازدهار الشّامل الرّائع الّذي أضاء العالم في العصور الوسطى" </w:t>
      </w:r>
      <w:r w:rsidRPr="000F6035">
        <w:rPr>
          <w:rStyle w:val="Appelnotedebasdep"/>
          <w:rFonts w:ascii="Simplified Arabic" w:hAnsi="Simplified Arabic" w:cs="Simplified Arabic"/>
          <w:sz w:val="30"/>
          <w:szCs w:val="30"/>
          <w:rtl/>
          <w:lang w:bidi="ar-DZ"/>
        </w:rPr>
        <w:footnoteReference w:id="2"/>
      </w:r>
      <w:r w:rsidRPr="000F6035">
        <w:rPr>
          <w:rFonts w:ascii="Simplified Arabic" w:hAnsi="Simplified Arabic" w:cs="Simplified Arabic" w:hint="cs"/>
          <w:sz w:val="30"/>
          <w:szCs w:val="30"/>
          <w:rtl/>
          <w:lang w:bidi="ar-DZ"/>
        </w:rPr>
        <w:t xml:space="preserve"> وكان ذلك في شتّى حقول الشّرح ،والتّأليف، والتّرجمة في شتّى فروع الحكمة والمنطق والسّياسة والأخلاق، وخير مثال على ذلك منجزات الفارابي؛ حيث مثّلت مصنّفاته الفلسفية والمنطقية أثرا واضحا للعلم اللّغوي، إذ ظهرت علوم كثيرة كانت قائمة من قبل غير أنّها أصبحت أكثر اتّساعا وعمقا "كالفقه والأصول، وكان لهذه العلوم تأثيرا في العربية، كما كان لها تأثيرها في العلوم العقلية، فتنوّعت ألفاظها، وأحدثت فيها ألفاظا جديدة" </w:t>
      </w:r>
      <w:r w:rsidRPr="000F6035">
        <w:rPr>
          <w:rStyle w:val="Appelnotedebasdep"/>
          <w:rFonts w:ascii="Simplified Arabic" w:hAnsi="Simplified Arabic" w:cs="Simplified Arabic"/>
          <w:sz w:val="30"/>
          <w:szCs w:val="30"/>
          <w:rtl/>
          <w:lang w:bidi="ar-DZ"/>
        </w:rPr>
        <w:footnoteReference w:id="3"/>
      </w:r>
      <w:r w:rsidRPr="000F6035">
        <w:rPr>
          <w:rFonts w:ascii="Simplified Arabic" w:hAnsi="Simplified Arabic" w:cs="Simplified Arabic" w:hint="cs"/>
          <w:sz w:val="30"/>
          <w:szCs w:val="30"/>
          <w:rtl/>
          <w:lang w:bidi="ar-DZ"/>
        </w:rPr>
        <w:t xml:space="preserve"> ممّا استلزم شرح معاني المصطلح الفلسفي إلى العربية وغيرها من اللّغات، فكان " الفارابي رائدا في هذا العمل حيث لم يسبقه أحد، وقد تأثر به من جاء بعده" </w:t>
      </w:r>
      <w:r w:rsidRPr="000F6035">
        <w:rPr>
          <w:rStyle w:val="Appelnotedebasdep"/>
          <w:rFonts w:ascii="Simplified Arabic" w:hAnsi="Simplified Arabic" w:cs="Simplified Arabic"/>
          <w:sz w:val="30"/>
          <w:szCs w:val="30"/>
          <w:rtl/>
          <w:lang w:bidi="ar-DZ"/>
        </w:rPr>
        <w:footnoteReference w:id="4"/>
      </w:r>
      <w:r w:rsidRPr="000F6035">
        <w:rPr>
          <w:rFonts w:ascii="Simplified Arabic" w:hAnsi="Simplified Arabic" w:cs="Simplified Arabic" w:hint="cs"/>
          <w:sz w:val="30"/>
          <w:szCs w:val="30"/>
          <w:rtl/>
          <w:lang w:bidi="ar-DZ"/>
        </w:rPr>
        <w:t xml:space="preserve"> حيث أولى أهميّة بالغة للعناية باللّغة كأساس، ومقدمة لفهم المنطق والفلسفة.</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lastRenderedPageBreak/>
        <w:t xml:space="preserve">- أصل اللّغة: لقد قال بكون اللّغة اصطلاحية متواضع عليها؛ حيث بحث في قضايا عدّة متعلّقة باللّغة منها: هويّة واضع اللّغة، مراحل وضع اللّغة، ويخوض بعدها البحث في الكيفية الّتي تمّ وفقها وضع اللّغة ويتجلّى ذلك من قوله: " فيتفق أن يستعمل الواحد منهم تصويتا أو لفظة في الدّلالة على شيء ما عندما يخاطب غيره، فيحفظ السّامع ذلك، فيستعمل السامع ذلك بعينه عندما يخاطب المنشئ الأوّل لتلك اللّفظة، ويكون السّامع الأوّل قد احتذى بذلك فيقع به، فيكونان قد اصطلحا وتوطآ على تلك اللّفظة فيخاطبان بها غيرهما إلى أن تشيع عند جماعة، ثمّ كلّما حدث في ضمير كلّ إنسان منهم شيء احتاج أن يفهمه غيره ممّن يحاوره، اخترع تصويتا فدلّ صاحبه عليه وسمعه منه فيحفظ كل واحد منهما ذلك، وجعلاه تصويتا دالا على ذلك الشّيء". </w:t>
      </w:r>
      <w:r w:rsidRPr="000F6035">
        <w:rPr>
          <w:rStyle w:val="Appelnotedebasdep"/>
          <w:rFonts w:ascii="Simplified Arabic" w:hAnsi="Simplified Arabic" w:cs="Simplified Arabic"/>
          <w:sz w:val="30"/>
          <w:szCs w:val="30"/>
          <w:rtl/>
          <w:lang w:bidi="ar-DZ"/>
        </w:rPr>
        <w:footnoteReference w:id="5"/>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فقد أولى اهتماما بالغا لحقيقة الألفاظ، وأثبت في دراسته للألفاظ بأنّه لا يمكن تصوّرها بمعزل عن الدّلالة، إذ لا وجود لألفاظ فارغة المعنى في علمي المنطق والفلسفة، فاعتبر الألفاظ والدّلالة وجهان لعملة واحدة، بمعنى الدّلالة ناتجة باتحاد الدّال بمدلوله وهو ما ظهر جليا في العصر الحديث في مباحث دي سوسير الّذي وضع مصطلح الدّليل اللّغوي.</w:t>
      </w:r>
    </w:p>
    <w:p w:rsidR="000F6035" w:rsidRPr="000F6035" w:rsidRDefault="000F6035" w:rsidP="000F6035">
      <w:pPr>
        <w:bidi/>
        <w:spacing w:line="276" w:lineRule="auto"/>
        <w:ind w:firstLine="566"/>
        <w:jc w:val="both"/>
        <w:rPr>
          <w:rFonts w:ascii="Simplified Arabic" w:hAnsi="Simplified Arabic" w:cs="Simplified Arabic"/>
          <w:sz w:val="30"/>
          <w:szCs w:val="30"/>
          <w:lang w:bidi="ar-DZ"/>
        </w:rPr>
      </w:pPr>
      <w:r w:rsidRPr="000F6035">
        <w:rPr>
          <w:rFonts w:ascii="Simplified Arabic" w:hAnsi="Simplified Arabic" w:cs="Simplified Arabic" w:hint="cs"/>
          <w:sz w:val="30"/>
          <w:szCs w:val="30"/>
          <w:rtl/>
          <w:lang w:bidi="ar-DZ"/>
        </w:rPr>
        <w:t>كما أنّه تجاوز الحديث عن دلالة الألفاظ وهي منفردة إلى الحديث عن دلالة الألفاظ وهي في التّركيب: يتضّح ذلك من قوله -بما معناه- إن العلاقات الاستبدالية هي الّتي تعمل على كشف علاقة الدّال بالمدلول وفق محور الاختيار، أو الاستبدال المعجمي؛ حيث يقوم على مستواها إمكانية استبدال دوال أخرى تؤدي الوظيفة الدّلالية ذاتها، في حين تكشف العلاقات الرّكنية وفق محور التّوزيع والتّركيب عن موقع الدّال في السّياق اللّغوي التّركيبي وما يتولّد عنه من دلالات إضافية.</w:t>
      </w:r>
    </w:p>
    <w:p w:rsidR="000F6035" w:rsidRPr="000F6035" w:rsidRDefault="000F6035" w:rsidP="000F6035">
      <w:pPr>
        <w:bidi/>
        <w:spacing w:line="276" w:lineRule="auto"/>
        <w:ind w:firstLine="566"/>
        <w:jc w:val="both"/>
        <w:rPr>
          <w:rFonts w:ascii="Simplified Arabic" w:hAnsi="Simplified Arabic" w:cs="Simplified Arabic"/>
          <w:b/>
          <w:bCs/>
          <w:sz w:val="30"/>
          <w:szCs w:val="30"/>
          <w:rtl/>
          <w:lang w:bidi="ar-DZ"/>
        </w:rPr>
      </w:pPr>
      <w:r w:rsidRPr="000F6035">
        <w:rPr>
          <w:rFonts w:ascii="Simplified Arabic" w:hAnsi="Simplified Arabic" w:cs="Simplified Arabic" w:hint="cs"/>
          <w:b/>
          <w:bCs/>
          <w:sz w:val="30"/>
          <w:szCs w:val="30"/>
          <w:rtl/>
          <w:lang w:bidi="ar-DZ"/>
        </w:rPr>
        <w:t>- النّحو والمنطق:</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xml:space="preserve">لقد قال الفارابي عن اللّغة بالمواضعة، مؤكّدا في الوقت نفسه أنّ المعنى فطري ومغروز في النّفس، يتجلّى ذلك من قوله " النّطق هو القول الخارج بالصّوت، وهو الّذي به تكون عبارة اللّسان عمّا في الضّمير، وهو أيضا القول المركوز في النّفس وهو المعقولات الّتي تدلّ عليها الألفاظ" </w:t>
      </w:r>
      <w:r w:rsidRPr="000F6035">
        <w:rPr>
          <w:rStyle w:val="Appelnotedebasdep"/>
          <w:rFonts w:ascii="Simplified Arabic" w:hAnsi="Simplified Arabic" w:cs="Simplified Arabic"/>
          <w:sz w:val="30"/>
          <w:szCs w:val="30"/>
          <w:rtl/>
          <w:lang w:bidi="ar-DZ"/>
        </w:rPr>
        <w:footnoteReference w:id="6"/>
      </w:r>
      <w:r w:rsidRPr="000F6035">
        <w:rPr>
          <w:rFonts w:ascii="Simplified Arabic" w:hAnsi="Simplified Arabic" w:cs="Simplified Arabic" w:hint="cs"/>
          <w:sz w:val="30"/>
          <w:szCs w:val="30"/>
          <w:rtl/>
          <w:lang w:bidi="ar-DZ"/>
        </w:rPr>
        <w:t xml:space="preserve"> فلم يعتبر اللّغة نظام اجتماعي تتكلّمه جماعة معينة تتلقاه عن طريق المجتمع فحسب، وتحقّق به وظائف معينة، وتتشكل من جيل إلى جيل، إذ اهتم باللّغة والمنطق، فربط بينهما فيها يتعلّق بالألفاظ، فوضع الشّروط الّتي ينبغي أن تكون عليها الألفاظ والقوانين المنطقية الّتي ينبغي الالتزام فيها عند التّركيب مبيّنا أنّ المنطق ليس سوى معقولات تدلّ عليه الألفاظ، والألفاظ من حيث هي دالة على المعقولات، فأقرّ بضرورة الإحاطة اللّغوية لفهم العمل الفلسفي.</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xml:space="preserve">لقد حاول الفارابي أن يقوم بدور المصلح ما بين المناطقة والنّحاة ؛حيث كان النّحاة ينظرون للمنطق والنّحو على أنّهما متضادان بينما حاول الفارابي تأسيس علاقة بين العلمين، وهو ما حقّقه من خلال قوله: "ذلك أنّ نسبة المنطق إلى العقل والمعقولات كنسبة صناعة النّحو إلى اللّسان والألفاظ، فكلّ ما يعطينا علم النحو من القوانين في الألفاظ، فإن علم المنطق يعطينا نظائرها في المعقولات" </w:t>
      </w:r>
      <w:r w:rsidRPr="000F6035">
        <w:rPr>
          <w:rStyle w:val="Appelnotedebasdep"/>
          <w:rFonts w:ascii="Simplified Arabic" w:hAnsi="Simplified Arabic" w:cs="Simplified Arabic"/>
          <w:sz w:val="30"/>
          <w:szCs w:val="30"/>
          <w:rtl/>
          <w:lang w:bidi="ar-DZ"/>
        </w:rPr>
        <w:footnoteReference w:id="7"/>
      </w:r>
      <w:r w:rsidRPr="000F6035">
        <w:rPr>
          <w:rFonts w:ascii="Simplified Arabic" w:hAnsi="Simplified Arabic" w:cs="Simplified Arabic" w:hint="cs"/>
          <w:sz w:val="30"/>
          <w:szCs w:val="30"/>
          <w:rtl/>
          <w:lang w:bidi="ar-DZ"/>
        </w:rPr>
        <w:t xml:space="preserve"> بمعنى أنّه إذا كان النّحاة يشتقون الألفاظ من تلك المشهورة عند الجمهور، فالمناطقة يضعون ألفاظ خاصة مستمدة من إدراكات عقلية ويؤكّد الفارابي هذا بقوله: "علم النّحو إنّما يعطي قوانين تخصّ ألفاظ أمّة ما وعلم المنطق إنّما يعطي قوانين مشتركة تعمّ ألفاظ الأمم كلّها" </w:t>
      </w:r>
      <w:r w:rsidRPr="000F6035">
        <w:rPr>
          <w:rStyle w:val="Appelnotedebasdep"/>
          <w:rFonts w:ascii="Simplified Arabic" w:hAnsi="Simplified Arabic" w:cs="Simplified Arabic"/>
          <w:sz w:val="30"/>
          <w:szCs w:val="30"/>
          <w:rtl/>
          <w:lang w:bidi="ar-DZ"/>
        </w:rPr>
        <w:footnoteReference w:id="8"/>
      </w:r>
      <w:r w:rsidRPr="000F6035">
        <w:rPr>
          <w:rFonts w:ascii="Simplified Arabic" w:hAnsi="Simplified Arabic" w:cs="Simplified Arabic" w:hint="cs"/>
          <w:sz w:val="30"/>
          <w:szCs w:val="30"/>
          <w:rtl/>
          <w:lang w:bidi="ar-DZ"/>
        </w:rPr>
        <w:t xml:space="preserve"> أي إنّ المعقولات لا يقع فيها الاختلاف عند الأمم كلّها.</w:t>
      </w:r>
    </w:p>
    <w:p w:rsidR="000F6035" w:rsidRPr="000F6035" w:rsidRDefault="000F6035" w:rsidP="000F6035">
      <w:pPr>
        <w:bidi/>
        <w:spacing w:line="276" w:lineRule="auto"/>
        <w:ind w:firstLine="566"/>
        <w:jc w:val="both"/>
        <w:rPr>
          <w:rFonts w:ascii="Simplified Arabic" w:hAnsi="Simplified Arabic" w:cs="Simplified Arabic"/>
          <w:sz w:val="30"/>
          <w:szCs w:val="30"/>
          <w:lang w:bidi="ar-DZ"/>
        </w:rPr>
      </w:pPr>
      <w:r w:rsidRPr="000F6035">
        <w:rPr>
          <w:rFonts w:ascii="Simplified Arabic" w:hAnsi="Simplified Arabic" w:cs="Simplified Arabic" w:hint="cs"/>
          <w:sz w:val="30"/>
          <w:szCs w:val="30"/>
          <w:rtl/>
          <w:lang w:bidi="ar-DZ"/>
        </w:rPr>
        <w:t>وفي الأخير لا يسعنا القول بأنّه لا يمكننا الإحاطة بكلّ منجزات الفارابي في درس ،فاكتفينا بالأهمّ،فقد استطاع الفارابي أن يبرهن على ضرورة الإحاطة باللّغة لدراسة المنطق،وكما أثبت عمق العلاقة بين النّحو والمنطق و بين اللّغة والفكر بصفة عامّة.</w:t>
      </w:r>
    </w:p>
    <w:p w:rsidR="000F6035" w:rsidRPr="000F6035" w:rsidRDefault="000F6035" w:rsidP="000F6035">
      <w:pPr>
        <w:bidi/>
        <w:spacing w:line="276" w:lineRule="auto"/>
        <w:ind w:firstLine="566"/>
        <w:jc w:val="both"/>
        <w:rPr>
          <w:rFonts w:ascii="Simplified Arabic" w:hAnsi="Simplified Arabic" w:cs="Simplified Arabic"/>
          <w:b/>
          <w:bCs/>
          <w:sz w:val="30"/>
          <w:szCs w:val="30"/>
          <w:rtl/>
          <w:lang w:bidi="ar-DZ"/>
        </w:rPr>
      </w:pPr>
      <w:r w:rsidRPr="000F6035">
        <w:rPr>
          <w:rFonts w:ascii="Simplified Arabic" w:hAnsi="Simplified Arabic" w:cs="Simplified Arabic" w:hint="cs"/>
          <w:b/>
          <w:bCs/>
          <w:sz w:val="30"/>
          <w:szCs w:val="30"/>
          <w:rtl/>
          <w:lang w:bidi="ar-DZ"/>
        </w:rPr>
        <w:t>2. ابن سينا:</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إنّ ابن سينا من أولئك العباقرة الموسوعيّين، فلم يقف اهتمامه على علم واحد، بل كانت إحاطته بالعلوم شاملة، وشغفه بالمعرفة لا حدود له، ألّف في علوم شتّى باختلافها منها: الطّب، الفلك، الكيمياء، اللّغة، والنّحو، والعروض، وتأويل الرؤيا، والفلسفة... الخ وكان له فضل التّأسيس والتّفسير لكثير من المصطلحات الفلسفية، حتّى أنّه فيه منه من يعتبره المعلم الأوّل في درس المسائل الفلسفية، إلى جانب الفارابي.</w:t>
      </w:r>
    </w:p>
    <w:p w:rsidR="000F6035" w:rsidRPr="000F6035" w:rsidRDefault="000F6035" w:rsidP="000F6035">
      <w:pPr>
        <w:bidi/>
        <w:spacing w:line="276" w:lineRule="auto"/>
        <w:ind w:firstLine="566"/>
        <w:jc w:val="both"/>
        <w:rPr>
          <w:rFonts w:ascii="Simplified Arabic" w:hAnsi="Simplified Arabic" w:cs="Simplified Arabic"/>
          <w:b/>
          <w:bCs/>
          <w:sz w:val="30"/>
          <w:szCs w:val="30"/>
          <w:rtl/>
          <w:lang w:bidi="ar-DZ"/>
        </w:rPr>
      </w:pPr>
      <w:r w:rsidRPr="000F6035">
        <w:rPr>
          <w:rFonts w:ascii="Simplified Arabic" w:hAnsi="Simplified Arabic" w:cs="Simplified Arabic" w:hint="cs"/>
          <w:b/>
          <w:bCs/>
          <w:sz w:val="30"/>
          <w:szCs w:val="30"/>
          <w:rtl/>
          <w:lang w:bidi="ar-DZ"/>
        </w:rPr>
        <w:t>1. أصل اللغة:</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xml:space="preserve">لقد قال ابن سينا في مسألة نشأة اللّغة بفكرة الوضع الإلهي للّغة في فترة زمنية محددة ويتجلّى ذلك من قوله: "فالدّلالة بالألفاظ إنّما استمر بها التّعارف بسبب تراض من المتخاطبين غير ضروري، حتّى وإن فرضنا بحسب المعلم الأوّل ضروريا من عند الله، فإنّه بحسب المشاركة اصطلاحي... </w:t>
      </w:r>
      <w:r w:rsidRPr="000F6035">
        <w:rPr>
          <w:rStyle w:val="Appelnotedebasdep"/>
          <w:rFonts w:ascii="Simplified Arabic" w:hAnsi="Simplified Arabic" w:cs="Simplified Arabic"/>
          <w:sz w:val="30"/>
          <w:szCs w:val="30"/>
          <w:rtl/>
          <w:lang w:bidi="ar-DZ"/>
        </w:rPr>
        <w:footnoteReference w:id="9"/>
      </w:r>
      <w:r w:rsidRPr="000F6035">
        <w:rPr>
          <w:rFonts w:ascii="Simplified Arabic" w:hAnsi="Simplified Arabic" w:cs="Simplified Arabic" w:hint="cs"/>
          <w:sz w:val="30"/>
          <w:szCs w:val="30"/>
          <w:rtl/>
          <w:lang w:bidi="ar-DZ"/>
        </w:rPr>
        <w:t xml:space="preserve"> إذن فقد قال بعملية الوضع الإلهي مع الجيل الأوّل، وبالاصطلاح على دلالة الألفاظ على مدلولاتها مع الجيل الثّاني وفق ما نقل إليهم من الجيل الأوّل فأخذت بذلك منحى اصطلاحيا بالتواضع لا بالتوقيف.</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xml:space="preserve">- الألفاظ: أمّا فيما يتعلق بمعاني الألفاظ فقد أقرّ بهذا الشّأن أنّ "معنى دلالة اللّفظ :أن يكون إذا ارتسم في الخيال مسموع اسم، ارتسم في النفس معنى، فتعرف النّفس أنّ هذا المسموع لهذا المفهوم، فكلّما أورده الحس على النّفس التفت إلى معناه" </w:t>
      </w:r>
      <w:r w:rsidRPr="000F6035">
        <w:rPr>
          <w:rStyle w:val="Appelnotedebasdep"/>
          <w:rFonts w:ascii="Simplified Arabic" w:hAnsi="Simplified Arabic" w:cs="Simplified Arabic"/>
          <w:sz w:val="30"/>
          <w:szCs w:val="30"/>
          <w:rtl/>
          <w:lang w:bidi="ar-DZ"/>
        </w:rPr>
        <w:footnoteReference w:id="10"/>
      </w:r>
      <w:r w:rsidRPr="000F6035">
        <w:rPr>
          <w:rFonts w:ascii="Simplified Arabic" w:hAnsi="Simplified Arabic" w:cs="Simplified Arabic" w:hint="cs"/>
          <w:sz w:val="30"/>
          <w:szCs w:val="30"/>
          <w:rtl/>
          <w:lang w:bidi="ar-DZ"/>
        </w:rPr>
        <w:t xml:space="preserve"> وأكّد قوله هذا في موضع آخر بقوله "فإذا استعملت تلك العلامة، تنبهت النّفس على إخطار ذلك المعنى بالبال من حيث إنّه هو المراد لا غيره" </w:t>
      </w:r>
      <w:r w:rsidRPr="000F6035">
        <w:rPr>
          <w:rStyle w:val="Appelnotedebasdep"/>
          <w:rFonts w:ascii="Simplified Arabic" w:hAnsi="Simplified Arabic" w:cs="Simplified Arabic"/>
          <w:sz w:val="30"/>
          <w:szCs w:val="30"/>
          <w:rtl/>
          <w:lang w:bidi="ar-DZ"/>
        </w:rPr>
        <w:footnoteReference w:id="11"/>
      </w:r>
      <w:r w:rsidRPr="000F6035">
        <w:rPr>
          <w:rFonts w:ascii="Simplified Arabic" w:hAnsi="Simplified Arabic" w:cs="Simplified Arabic" w:hint="cs"/>
          <w:sz w:val="30"/>
          <w:szCs w:val="30"/>
          <w:rtl/>
          <w:lang w:bidi="ar-DZ"/>
        </w:rPr>
        <w:t xml:space="preserve"> بمعنى أنّه حضر مفهوم العلامة اللّغوية في الدّال والمدلول، أي إنّ دلالة اللّفظ قائمة على العلاقة بين اللّفظ والصّورة الذّهنية، وهو ما يعني أنّه يتفق ومفهوم دي سوسير للعلامة؛ حيث إنّ العلامة اللّغوية عند ابن سينا ثنائية المبنى، تتألّف من مسموع ومعنى (مفهوم)، شأنه في هذا شأن دي سوسير الّذي حدّدها أنّها تآلف من صورة سمعية (دال) وصور ذهنية أو تصوّر (مدلول)، فيكون بهذا استبعد المرجع الّذي تحيل إليه العلامة اللّغوية، بالمقابل يؤكد الغزالي أهميّة المرجع كطرف أساسيّ في مفهوم العلامة اللّغوية، ويتجلّى ذلك من قوله: "إنّ الألفاظ لها دلالات على ما في النّفوس، وما في النّفوس مثال لما في الأعيان" </w:t>
      </w:r>
      <w:r w:rsidRPr="000F6035">
        <w:rPr>
          <w:rStyle w:val="Appelnotedebasdep"/>
          <w:rFonts w:ascii="Simplified Arabic" w:hAnsi="Simplified Arabic" w:cs="Simplified Arabic"/>
          <w:sz w:val="30"/>
          <w:szCs w:val="30"/>
          <w:rtl/>
          <w:lang w:bidi="ar-DZ"/>
        </w:rPr>
        <w:footnoteReference w:id="12"/>
      </w:r>
      <w:r w:rsidRPr="000F6035">
        <w:rPr>
          <w:rFonts w:ascii="Simplified Arabic" w:hAnsi="Simplified Arabic" w:cs="Simplified Arabic" w:hint="cs"/>
          <w:sz w:val="30"/>
          <w:szCs w:val="30"/>
          <w:rtl/>
          <w:lang w:bidi="ar-DZ"/>
        </w:rPr>
        <w:t xml:space="preserve"> فيبدو من خلال قوله أنّه قد أدرك أهميّة اللّغة في إيداع النّظام التّواصلي، إذ أنّ الإنسان يكيّف تعامله مع الواقع الخارجي من خلال كفاءته العقلية الّتي تسمح له بابتكار نمط ترميزي، الدّال وفق التّصوّر الحسّي وما يوفره المحيط الاجتماعي من إشارات، ورموز ترتبط بعالم الأشياء المحسوسة، وهو ما ذهب إليه ريتشارد وأجدن في مؤلفهما</w:t>
      </w:r>
      <w:r w:rsidRPr="000F6035">
        <w:rPr>
          <w:rFonts w:asciiTheme="majorBidi" w:hAnsiTheme="majorBidi" w:cstheme="majorBidi"/>
          <w:sz w:val="30"/>
          <w:szCs w:val="30"/>
          <w:rtl/>
          <w:lang w:bidi="ar-DZ"/>
        </w:rPr>
        <w:t xml:space="preserve"> (</w:t>
      </w:r>
      <w:r w:rsidRPr="000F6035">
        <w:rPr>
          <w:rFonts w:asciiTheme="majorBidi" w:hAnsiTheme="majorBidi" w:cstheme="majorBidi"/>
          <w:sz w:val="30"/>
          <w:szCs w:val="30"/>
          <w:lang w:bidi="ar-DZ"/>
        </w:rPr>
        <w:t>The meaning of meaning</w:t>
      </w:r>
      <w:r w:rsidRPr="000F6035">
        <w:rPr>
          <w:rFonts w:asciiTheme="majorBidi" w:hAnsiTheme="majorBidi" w:cstheme="majorBidi"/>
          <w:sz w:val="30"/>
          <w:szCs w:val="30"/>
          <w:rtl/>
          <w:lang w:bidi="ar-DZ"/>
        </w:rPr>
        <w:t>)</w:t>
      </w:r>
      <w:r w:rsidRPr="000F6035">
        <w:rPr>
          <w:rFonts w:ascii="Simplified Arabic" w:hAnsi="Simplified Arabic" w:cs="Simplified Arabic" w:hint="cs"/>
          <w:sz w:val="30"/>
          <w:szCs w:val="30"/>
          <w:rtl/>
          <w:lang w:bidi="ar-DZ"/>
        </w:rPr>
        <w:t xml:space="preserve"> معنى المعنى، حيث ربطا العلامة اللّغوية بعالم الواقع الخارجي، وجعلا لها مؤشرا ثلاثيا يربط بين الكلمات، والأفكار، والأشياء، يتجلّى ذلك من خلال هذا القول: "إنّنا في حاجة إلى نظرية تربط بين الكلمات والأشياء الّتي ترمز إليها هذه الكلمات من خلال وساطة الأفكار" </w:t>
      </w:r>
      <w:r w:rsidRPr="000F6035">
        <w:rPr>
          <w:rStyle w:val="Appelnotedebasdep"/>
          <w:rFonts w:ascii="Simplified Arabic" w:hAnsi="Simplified Arabic" w:cs="Simplified Arabic"/>
          <w:sz w:val="30"/>
          <w:szCs w:val="30"/>
          <w:rtl/>
          <w:lang w:bidi="ar-DZ"/>
        </w:rPr>
        <w:footnoteReference w:id="13"/>
      </w:r>
      <w:r w:rsidRPr="000F6035">
        <w:rPr>
          <w:rFonts w:ascii="Simplified Arabic" w:hAnsi="Simplified Arabic" w:cs="Simplified Arabic" w:hint="cs"/>
          <w:sz w:val="30"/>
          <w:szCs w:val="30"/>
          <w:rtl/>
          <w:lang w:bidi="ar-DZ"/>
        </w:rPr>
        <w:t xml:space="preserve"> ويمكن تلخيصها -بما معناه- كالآتي:</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الرّمز: هو الدّال، ويأتي كلمة منطوقة مؤلفة من مجموعة وحدات صوتية، يقابل اللّفظ في التّراث، يمثل الدّال عند دي سوسير، والعلاقة بين الرّمز والمرجع علاقة غير معلّلة وغير مباشرة، ولا تتمّ إلاّ من خلال جانبي المثلث أي المرجع، الفكرة، الرّمز.</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الفكرة (المفهوم): وهي الصّورة الذّهنية الّتي تتراءى من خلال الدّال، تقابل المدلول عند دي سوسير، والعلاقة بين الرّمز والفكرة هي علاقة سببية، بمعنى الفكرة هي العلّة في وجود الرّمز.</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المرجع: وهو الواقع الخارجي المشار إليه، موجود في الأعيان، ولا وجود له عند دي سوسير.</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b/>
          <w:bCs/>
          <w:sz w:val="30"/>
          <w:szCs w:val="30"/>
          <w:rtl/>
          <w:lang w:bidi="ar-DZ"/>
        </w:rPr>
        <w:t>3. ابن رشد:</w:t>
      </w:r>
      <w:r w:rsidRPr="000F6035">
        <w:rPr>
          <w:rFonts w:ascii="Simplified Arabic" w:hAnsi="Simplified Arabic" w:cs="Simplified Arabic" w:hint="cs"/>
          <w:sz w:val="30"/>
          <w:szCs w:val="30"/>
          <w:rtl/>
          <w:lang w:bidi="ar-DZ"/>
        </w:rPr>
        <w:t xml:space="preserve">لقد مثّل فكر ابن رشد مجالا واسعا للبحث الفلسفي، قد كان حامل لواء العقلانية في العصور الوسطى في الشرق والغرب، اتسمت فلسفته بعقلانية الطابع والمنهج "إنّه يعبر عن النّزوع العقلي في كلّ ما عرض له من مسائل الفلسفة وقضاياها، فالعقل قادر على استنباط الأحكام، واستخدام البراهين للوصول إلى الحقيقية". </w:t>
      </w:r>
      <w:r w:rsidRPr="000F6035">
        <w:rPr>
          <w:rStyle w:val="Appelnotedebasdep"/>
          <w:rFonts w:ascii="Simplified Arabic" w:hAnsi="Simplified Arabic" w:cs="Simplified Arabic"/>
          <w:sz w:val="30"/>
          <w:szCs w:val="30"/>
          <w:rtl/>
          <w:lang w:bidi="ar-DZ"/>
        </w:rPr>
        <w:footnoteReference w:id="14"/>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xml:space="preserve">حيث ربط ابن رشد "المعرفة بالواقع وأسند المعرفة إلى العقل الإنساني الّذي يستوحيها مباشرة من العالم الخارجي..." </w:t>
      </w:r>
      <w:r w:rsidRPr="000F6035">
        <w:rPr>
          <w:rStyle w:val="Appelnotedebasdep"/>
          <w:rFonts w:ascii="Simplified Arabic" w:hAnsi="Simplified Arabic" w:cs="Simplified Arabic"/>
          <w:sz w:val="30"/>
          <w:szCs w:val="30"/>
          <w:rtl/>
          <w:lang w:bidi="ar-DZ"/>
        </w:rPr>
        <w:footnoteReference w:id="15"/>
      </w:r>
      <w:r w:rsidRPr="000F6035">
        <w:rPr>
          <w:rFonts w:ascii="Simplified Arabic" w:hAnsi="Simplified Arabic" w:cs="Simplified Arabic" w:hint="cs"/>
          <w:sz w:val="30"/>
          <w:szCs w:val="30"/>
          <w:rtl/>
          <w:lang w:bidi="ar-DZ"/>
        </w:rPr>
        <w:t xml:space="preserve"> مؤكدا أنّ العقل "يستمد المعرفة من العالم المادي، وهذا العالم له قوانينه والعقل الّذي يدرك العالم وقوانينه هو صورة لهذه القوانين، فعندما يتلقى الصّور الخارجية الّتي تنقلها الحواس تصبح مادة لتفكيره، ويحصل على المعرفة الّتي تكون قد جاءت نتيجة الحس والعقل معا". </w:t>
      </w:r>
      <w:r w:rsidRPr="000F6035">
        <w:rPr>
          <w:rStyle w:val="Appelnotedebasdep"/>
          <w:rFonts w:ascii="Simplified Arabic" w:hAnsi="Simplified Arabic" w:cs="Simplified Arabic"/>
          <w:sz w:val="30"/>
          <w:szCs w:val="30"/>
          <w:rtl/>
          <w:lang w:bidi="ar-DZ"/>
        </w:rPr>
        <w:footnoteReference w:id="16"/>
      </w:r>
      <w:r w:rsidRPr="000F6035">
        <w:rPr>
          <w:rFonts w:ascii="Simplified Arabic" w:hAnsi="Simplified Arabic" w:cs="Simplified Arabic" w:hint="cs"/>
          <w:sz w:val="30"/>
          <w:szCs w:val="30"/>
          <w:rtl/>
          <w:lang w:bidi="ar-DZ"/>
        </w:rPr>
        <w:t xml:space="preserve"> كما ميّز ابن رشد بين "الإدراك الحسّي والإدراك العقلي، وبيّن أنّ العقل وحده يدرك الكليّ" </w:t>
      </w:r>
      <w:r w:rsidRPr="000F6035">
        <w:rPr>
          <w:rStyle w:val="Appelnotedebasdep"/>
          <w:rFonts w:ascii="Simplified Arabic" w:hAnsi="Simplified Arabic" w:cs="Simplified Arabic"/>
          <w:sz w:val="30"/>
          <w:szCs w:val="30"/>
          <w:rtl/>
          <w:lang w:bidi="ar-DZ"/>
        </w:rPr>
        <w:footnoteReference w:id="17"/>
      </w:r>
      <w:r w:rsidRPr="000F6035">
        <w:rPr>
          <w:rFonts w:ascii="Simplified Arabic" w:hAnsi="Simplified Arabic" w:cs="Simplified Arabic" w:hint="cs"/>
          <w:sz w:val="30"/>
          <w:szCs w:val="30"/>
          <w:rtl/>
          <w:lang w:bidi="ar-DZ"/>
        </w:rPr>
        <w:t xml:space="preserve"> باعتباره الحواس مصدر الإدراك.</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xml:space="preserve">أمّا بالنّسبة لرأيه حول مسألة أصل اللّغة، فيبدو أصل اللّغة عنده اتفاق، وتواطؤ اجتماعي، مستدلّا بهذا باختلاف معاني الألفاظ من أمّة إلى أخرى، ومن لسان إلى غيره قائلا: "الألفاظ الّتي يعبر بها عن المعاني ليست هي واحدة بعينها عند جميع الأمم، ولذلك كانت دلالة هاتين بتواطؤ لا بالطبع... وهذا الاختلاف ليس اختلافا في الموجودات طبعا، ولا في المعاني القائمة في النّفس وإنّما في الاتّفاق على تحديد اسم للمسمّى"، </w:t>
      </w:r>
      <w:r w:rsidRPr="000F6035">
        <w:rPr>
          <w:rStyle w:val="Appelnotedebasdep"/>
          <w:rFonts w:ascii="Simplified Arabic" w:hAnsi="Simplified Arabic" w:cs="Simplified Arabic"/>
          <w:sz w:val="30"/>
          <w:szCs w:val="30"/>
          <w:rtl/>
          <w:lang w:bidi="ar-DZ"/>
        </w:rPr>
        <w:footnoteReference w:id="18"/>
      </w:r>
      <w:r w:rsidRPr="000F6035">
        <w:rPr>
          <w:rFonts w:ascii="Simplified Arabic" w:hAnsi="Simplified Arabic" w:cs="Simplified Arabic" w:hint="cs"/>
          <w:sz w:val="30"/>
          <w:szCs w:val="30"/>
          <w:rtl/>
          <w:lang w:bidi="ar-DZ"/>
        </w:rPr>
        <w:t xml:space="preserve"> حيث حدّد الاسم بأنّه " لفظ دال يتواطؤ على معنى مجرّد من الزمان من غير أن يدلّ على جزء من أجزائه -إذا أفرد- على جزء من ذلك  المعنى، سواء كان الاسم المفرد بسيطا مثل: زيد أو عمر أو مركبا مثل عبد الملك الّذي هو اسم لرجل" </w:t>
      </w:r>
      <w:r w:rsidRPr="000F6035">
        <w:rPr>
          <w:rStyle w:val="Appelnotedebasdep"/>
          <w:rFonts w:ascii="Simplified Arabic" w:hAnsi="Simplified Arabic" w:cs="Simplified Arabic"/>
          <w:sz w:val="30"/>
          <w:szCs w:val="30"/>
          <w:rtl/>
          <w:lang w:bidi="ar-DZ"/>
        </w:rPr>
        <w:footnoteReference w:id="19"/>
      </w:r>
      <w:r w:rsidRPr="000F6035">
        <w:rPr>
          <w:rFonts w:ascii="Simplified Arabic" w:hAnsi="Simplified Arabic" w:cs="Simplified Arabic" w:hint="cs"/>
          <w:sz w:val="30"/>
          <w:szCs w:val="30"/>
          <w:rtl/>
          <w:lang w:bidi="ar-DZ"/>
        </w:rPr>
        <w:t xml:space="preserve"> أي إنّه لفظ يدلّ على معنى مفرد يمكن فهمه بنفسه من غير دلالة بينية على الزمان المحصّل فيه ذلك الاسم.</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لقد ميّز ابن رشد أيضا بين اللّغة بمعناها المباشر، واللّغة بمعناها المجازي قائلا: "عند شرحنا للمعنى المباشر لنص ما فإنّنا نقوم بعملية التّفسير، وعندما نقف على المعنى المجازي فإنّنا نقوم بعملية التّأويل"،</w:t>
      </w:r>
      <w:r w:rsidRPr="000F6035">
        <w:rPr>
          <w:rStyle w:val="Appelnotedebasdep"/>
          <w:rFonts w:ascii="Simplified Arabic" w:hAnsi="Simplified Arabic" w:cs="Simplified Arabic"/>
          <w:sz w:val="30"/>
          <w:szCs w:val="30"/>
          <w:rtl/>
          <w:lang w:bidi="ar-DZ"/>
        </w:rPr>
        <w:footnoteReference w:id="20"/>
      </w:r>
      <w:r w:rsidRPr="000F6035">
        <w:rPr>
          <w:rFonts w:ascii="Simplified Arabic" w:hAnsi="Simplified Arabic" w:cs="Simplified Arabic" w:hint="cs"/>
          <w:sz w:val="30"/>
          <w:szCs w:val="30"/>
          <w:rtl/>
          <w:lang w:bidi="ar-DZ"/>
        </w:rPr>
        <w:t xml:space="preserve"> حيث حدّد مفهوم التّأويل بأنّه "إخراج دلالة اللّفظ من الدّلالة المجازية إلى الدّلالة الحقيقية من غير أن يخلّ في ذلك بعادة لسان العرب" </w:t>
      </w:r>
      <w:r w:rsidRPr="000F6035">
        <w:rPr>
          <w:rStyle w:val="Appelnotedebasdep"/>
          <w:rFonts w:ascii="Simplified Arabic" w:hAnsi="Simplified Arabic" w:cs="Simplified Arabic"/>
          <w:sz w:val="30"/>
          <w:szCs w:val="30"/>
          <w:rtl/>
          <w:lang w:bidi="ar-DZ"/>
        </w:rPr>
        <w:footnoteReference w:id="21"/>
      </w:r>
      <w:r w:rsidRPr="000F6035">
        <w:rPr>
          <w:rFonts w:ascii="Simplified Arabic" w:hAnsi="Simplified Arabic" w:cs="Simplified Arabic" w:hint="cs"/>
          <w:sz w:val="30"/>
          <w:szCs w:val="30"/>
          <w:rtl/>
          <w:lang w:bidi="ar-DZ"/>
        </w:rPr>
        <w:t xml:space="preserve"> نلاحظ أن ابن رشد يشترط لصحة التّأويل عدم تجاوز المؤول لعادة لسان العرب، ذلك لكونه يبحث عن حقيقة تقوم على إتقان علوم اللّسان، ما يعني أنّ تحليل الخطاب لدى ابن رشد هو بالضّرورة تحليل اللّغة في الاستعمال، بتحديده لأقسام الخطاب في معنى ظاهر ومعنى خفي، وقد دعا العلماء للاهتمام بهذا الجانب للوصول إلى قصد المتكلم أو المخاطب من خلال اعتماد ظاهرة التّأويل الّتي أثارت اهتمام علماء اللّغة من الجانب الدّيني والفلسفي.</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xml:space="preserve">أمّا ما يتعلّق بخاصية المنطقية للّغة، فإنّه يمكن القول إنّه لم يمنح هذا الموضوع جزءا كبيرا من الأهمية من دراسته، يتجلى ذلك من قوله "وأعني بالمنطقية الأقاويل الصّادقة العامة الّتي ليست بخاصّة ولا مناسبة" </w:t>
      </w:r>
      <w:r w:rsidRPr="000F6035">
        <w:rPr>
          <w:rStyle w:val="Appelnotedebasdep"/>
          <w:rFonts w:ascii="Simplified Arabic" w:hAnsi="Simplified Arabic" w:cs="Simplified Arabic"/>
          <w:sz w:val="30"/>
          <w:szCs w:val="30"/>
          <w:rtl/>
          <w:lang w:bidi="ar-DZ"/>
        </w:rPr>
        <w:footnoteReference w:id="22"/>
      </w:r>
      <w:r w:rsidRPr="000F6035">
        <w:rPr>
          <w:rFonts w:ascii="Simplified Arabic" w:hAnsi="Simplified Arabic" w:cs="Simplified Arabic" w:hint="cs"/>
          <w:sz w:val="30"/>
          <w:szCs w:val="30"/>
          <w:rtl/>
          <w:lang w:bidi="ar-DZ"/>
        </w:rPr>
        <w:t xml:space="preserve"> أي حصره في إطار ما يقتضي أن يكون ذلك الموضوع أقاويل عامة، وصادقة من خلال اتّساقها فكرا و واقعا، كما نجده في موضع آخر يربط مفهوم المنطقي بالشّخص الّذي يشتغل بتحديد المفاهيم وصولا إلى الماهية، والطبيعة المكوّنة للموضوع المعرّف قائلا: " إنّ صاحب المنطق ينظر في المفاهيم من حيث هي آلة توجّه الذّهن نحو التّصوّر لماهيات الأشياء وينظر فيها صاحب هذا العلم من حيث هي تدلّ على طبائع الأشياء" </w:t>
      </w:r>
      <w:r w:rsidRPr="000F6035">
        <w:rPr>
          <w:rStyle w:val="Appelnotedebasdep"/>
          <w:rFonts w:ascii="Simplified Arabic" w:hAnsi="Simplified Arabic" w:cs="Simplified Arabic"/>
          <w:sz w:val="30"/>
          <w:szCs w:val="30"/>
          <w:rtl/>
          <w:lang w:bidi="ar-DZ"/>
        </w:rPr>
        <w:footnoteReference w:id="23"/>
      </w:r>
      <w:r w:rsidRPr="000F6035">
        <w:rPr>
          <w:rFonts w:ascii="Simplified Arabic" w:hAnsi="Simplified Arabic" w:cs="Simplified Arabic" w:hint="cs"/>
          <w:sz w:val="30"/>
          <w:szCs w:val="30"/>
          <w:rtl/>
          <w:lang w:bidi="ar-DZ"/>
        </w:rPr>
        <w:t xml:space="preserve"> أي عليه الاهتمام بدراسة الحدود الّتي توضّح مفاهيم الموضوعات الّتي يرغب في تحديدها وتحديد طبيعة الشّيء المراد تعريفه.</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r w:rsidRPr="000F6035">
        <w:rPr>
          <w:rFonts w:ascii="Simplified Arabic" w:hAnsi="Simplified Arabic" w:cs="Simplified Arabic" w:hint="cs"/>
          <w:sz w:val="30"/>
          <w:szCs w:val="30"/>
          <w:rtl/>
          <w:lang w:bidi="ar-DZ"/>
        </w:rPr>
        <w:t xml:space="preserve">ودائما وفي إطار حديثه عن صلة اللّغة بالمنطق يبيّن علاقة اللّفظ بالمعنى من خلال صلتهما بقيمتي الصّدق والكذب قائلا: "الألفاظ تشبه المعاني المعقولة في أنّه بما أنّ الشّيء ربما كان معقولا من غير أن يتّصف بالصّدق والكذب، كذلك اللّفظ ربما كان مفهوما من غير أن يتّصف بصدق ولا كذب" </w:t>
      </w:r>
      <w:r w:rsidRPr="000F6035">
        <w:rPr>
          <w:rStyle w:val="Appelnotedebasdep"/>
          <w:rFonts w:ascii="Simplified Arabic" w:hAnsi="Simplified Arabic" w:cs="Simplified Arabic"/>
          <w:sz w:val="30"/>
          <w:szCs w:val="30"/>
          <w:rtl/>
          <w:lang w:bidi="ar-DZ"/>
        </w:rPr>
        <w:footnoteReference w:id="24"/>
      </w:r>
      <w:r w:rsidRPr="000F6035">
        <w:rPr>
          <w:rFonts w:ascii="Simplified Arabic" w:hAnsi="Simplified Arabic" w:cs="Simplified Arabic" w:hint="cs"/>
          <w:sz w:val="30"/>
          <w:szCs w:val="30"/>
          <w:rtl/>
          <w:lang w:bidi="ar-DZ"/>
        </w:rPr>
        <w:t xml:space="preserve"> ؛أي إنّ اللّفظ والمعنى تتحدّد قيمتهما من حيث الصّدق والكذب بناء على علاقتهما بالعالم واستعمال النّاطق لهما، بمعنى أنّ اللّفظ لما يكون في حالة الإفراد دون استعماله في جملة فلا يتّصف بالصّدق والكذب، وشأنه في ذلك شأن المعنى في حال كونه تصوّرا ذهنيا، إذ لا يصدر فيه الحكم لا بالصّدق ولا بالكذب، بتعبير آخر إن كان المعنى المعقول واللّفظ المدلول يتّصفان بالصّدق والكذب لمّا يكونان في إطار دائرة الاستعمال كذلك الألفاظ المتداولة لا تتّصف بالصّدق والكذب إلاّ في إطار دائرة استعمال اللّغة.</w:t>
      </w: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p>
    <w:p w:rsidR="000F6035" w:rsidRPr="000F6035" w:rsidRDefault="000F6035" w:rsidP="000F6035">
      <w:pPr>
        <w:bidi/>
        <w:spacing w:line="276" w:lineRule="auto"/>
        <w:ind w:firstLine="566"/>
        <w:jc w:val="both"/>
        <w:rPr>
          <w:rFonts w:ascii="Simplified Arabic" w:hAnsi="Simplified Arabic" w:cs="Simplified Arabic"/>
          <w:sz w:val="30"/>
          <w:szCs w:val="30"/>
          <w:rtl/>
          <w:lang w:bidi="ar-DZ"/>
        </w:rPr>
      </w:pPr>
    </w:p>
    <w:p w:rsidR="007A2862" w:rsidRPr="000F6035" w:rsidRDefault="007A2862">
      <w:pPr>
        <w:rPr>
          <w:sz w:val="30"/>
          <w:szCs w:val="30"/>
          <w:lang w:bidi="ar-DZ"/>
        </w:rPr>
      </w:pPr>
    </w:p>
    <w:sectPr w:rsidR="007A2862" w:rsidRPr="000F6035" w:rsidSect="007A2862">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17F0" w:rsidRDefault="00D617F0" w:rsidP="000F6035">
      <w:pPr>
        <w:spacing w:after="0" w:line="240" w:lineRule="auto"/>
      </w:pPr>
      <w:r>
        <w:separator/>
      </w:r>
    </w:p>
  </w:endnote>
  <w:endnote w:type="continuationSeparator" w:id="1">
    <w:p w:rsidR="00D617F0" w:rsidRDefault="00D617F0" w:rsidP="000F60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6517"/>
      <w:docPartObj>
        <w:docPartGallery w:val="Page Numbers (Bottom of Page)"/>
        <w:docPartUnique/>
      </w:docPartObj>
    </w:sdtPr>
    <w:sdtContent>
      <w:p w:rsidR="000F6035" w:rsidRDefault="000F6035">
        <w:pPr>
          <w:pStyle w:val="Pieddepage"/>
          <w:jc w:val="center"/>
        </w:pPr>
        <w:fldSimple w:instr=" PAGE   \* MERGEFORMAT ">
          <w:r w:rsidR="00D617F0">
            <w:rPr>
              <w:noProof/>
            </w:rPr>
            <w:t>1</w:t>
          </w:r>
        </w:fldSimple>
      </w:p>
    </w:sdtContent>
  </w:sdt>
  <w:p w:rsidR="000F6035" w:rsidRDefault="000F603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17F0" w:rsidRDefault="00D617F0" w:rsidP="000F6035">
      <w:pPr>
        <w:spacing w:after="0" w:line="240" w:lineRule="auto"/>
      </w:pPr>
      <w:r>
        <w:separator/>
      </w:r>
    </w:p>
  </w:footnote>
  <w:footnote w:type="continuationSeparator" w:id="1">
    <w:p w:rsidR="00D617F0" w:rsidRDefault="00D617F0" w:rsidP="000F6035">
      <w:pPr>
        <w:spacing w:after="0" w:line="240" w:lineRule="auto"/>
      </w:pPr>
      <w:r>
        <w:continuationSeparator/>
      </w:r>
    </w:p>
  </w:footnote>
  <w:footnote w:id="2">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عبد الرحمان بدوي، دور العرب في تكوين الفكر الأوروبي، مكتبة الانجلو مصرية، القاهرة، 1967، ص 161.</w:t>
      </w:r>
    </w:p>
  </w:footnote>
  <w:footnote w:id="3">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زينب عفيفي، فلسفة اللغة عند الفارابي، ص 108.</w:t>
      </w:r>
    </w:p>
  </w:footnote>
  <w:footnote w:id="4">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محمود فهمي حجازي، في فلسفة اللغة، ص 183.</w:t>
      </w:r>
    </w:p>
  </w:footnote>
  <w:footnote w:id="5">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أبو نصر الفارابي، كتاب الحروف، تح: محسن مهدي، دار المشرق، بيروت، 1980، ص 138.</w:t>
      </w:r>
    </w:p>
  </w:footnote>
  <w:footnote w:id="6">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الفارابي، إحصاء العلوم، مركز الإنماء القومي، بيروت، 1991، ص 53.</w:t>
      </w:r>
    </w:p>
  </w:footnote>
  <w:footnote w:id="7">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المصدر نفسه، ص 13.</w:t>
      </w:r>
    </w:p>
  </w:footnote>
  <w:footnote w:id="8">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المصدر نفسه، ص 17.</w:t>
      </w:r>
    </w:p>
  </w:footnote>
  <w:footnote w:id="9">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ابن سينا، العبارة من الشفاء، ت</w:t>
      </w:r>
      <w:r>
        <w:rPr>
          <w:rFonts w:ascii="Simplified Arabic" w:hAnsi="Simplified Arabic" w:cs="Simplified Arabic" w:hint="cs"/>
          <w:sz w:val="24"/>
          <w:szCs w:val="24"/>
          <w:rtl/>
        </w:rPr>
        <w:t>ح</w:t>
      </w:r>
      <w:r w:rsidRPr="00D01BF5">
        <w:rPr>
          <w:rFonts w:ascii="Simplified Arabic" w:hAnsi="Simplified Arabic" w:cs="Simplified Arabic"/>
          <w:sz w:val="24"/>
          <w:szCs w:val="24"/>
          <w:rtl/>
        </w:rPr>
        <w:t>: محود الخضيري، دار الكاتب العربي، القاهرة، 1980، ص 4.</w:t>
      </w:r>
    </w:p>
  </w:footnote>
  <w:footnote w:id="10">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ابن سينا، العبارة من الشفاء، ص 4.</w:t>
      </w:r>
    </w:p>
  </w:footnote>
  <w:footnote w:id="11">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ابن سينا، الإلهيات من الشفاء، تح: محمد يوسف موسى، سليمان دنيا، سعيد زايد، الهيئة العامة لشؤون المطابع الأميرية، القاهرة، 1960، ص 30.</w:t>
      </w:r>
    </w:p>
  </w:footnote>
  <w:footnote w:id="12">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أبو حامد الغزالي، معيار العلم في فن المنطق، تح: محمد مصطفى، أبو العلا، مكتبة الجندي، القاهرة، ص 39.</w:t>
      </w:r>
    </w:p>
  </w:footnote>
  <w:footnote w:id="13">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بيير جيرو، علم الدلالة، تر: منذر عياش، دار طلاس للدراسات والترجمة والنشر، دمشق، 1977، ص 38.</w:t>
      </w:r>
    </w:p>
  </w:footnote>
  <w:footnote w:id="14">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مراد سعيد، العقل الفلسفي في الإسلام، عين للدراسات والبحوث الإنسانية والاجتماعية، 2000، ط1، ص 123.</w:t>
      </w:r>
    </w:p>
  </w:footnote>
  <w:footnote w:id="15">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بدوي فاطمة، علم اجتماع المعرفة بين الفكر الخلدوني والفكر الغربي، منشورات جرويت، برس، بيروت، ص 26.</w:t>
      </w:r>
    </w:p>
  </w:footnote>
  <w:footnote w:id="16">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المرجع نفسه، والصحفة نفسها.</w:t>
      </w:r>
    </w:p>
  </w:footnote>
  <w:footnote w:id="17">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الشمالي عبده، دراسات في تاريخ الفلسفة العربية الإسلامية، دار صادر، بيروت، 1979، ص 52.</w:t>
      </w:r>
    </w:p>
  </w:footnote>
  <w:footnote w:id="18">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ابن رشد، تلخيص كتاب أرسطو طاليس في العبارة، تح: محمد سليم سالم، دار الكتب، مصر، 1978، ص 12-13.</w:t>
      </w:r>
    </w:p>
  </w:footnote>
  <w:footnote w:id="19">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المرجع نفسه، ص 108.</w:t>
      </w:r>
    </w:p>
  </w:footnote>
  <w:footnote w:id="20">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الز</w:t>
      </w:r>
      <w:r>
        <w:rPr>
          <w:rFonts w:ascii="Simplified Arabic" w:hAnsi="Simplified Arabic" w:cs="Simplified Arabic" w:hint="cs"/>
          <w:sz w:val="24"/>
          <w:szCs w:val="24"/>
          <w:rtl/>
          <w:lang w:bidi="ar-DZ"/>
        </w:rPr>
        <w:t>وا</w:t>
      </w:r>
      <w:r w:rsidRPr="00D01BF5">
        <w:rPr>
          <w:rFonts w:ascii="Simplified Arabic" w:hAnsi="Simplified Arabic" w:cs="Simplified Arabic"/>
          <w:sz w:val="24"/>
          <w:szCs w:val="24"/>
          <w:rtl/>
          <w:lang w:bidi="ar-DZ"/>
        </w:rPr>
        <w:t>وي بغورة، الفلسفة واللغة، ص 54.</w:t>
      </w:r>
    </w:p>
  </w:footnote>
  <w:footnote w:id="21">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lang w:bidi="ar-DZ"/>
        </w:rPr>
        <w:t>ابن رشد، فصل المقال وتقرير ما بين الشريعة والحكمة من اتصال، تح: أبو عمران الشيخ، الشركة الوطنية للنشر والتوزيع، الجزائر، 1982، ص 34.</w:t>
      </w:r>
    </w:p>
  </w:footnote>
  <w:footnote w:id="22">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ابن رشد، كتاب السماع الطبيعي، تح: جوزيف جورج، المعهد الإسباني العربي للثقافة، مدريد، 1983، ص 250.</w:t>
      </w:r>
    </w:p>
  </w:footnote>
  <w:footnote w:id="23">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جيرار جيهامي، موسوعة مصطلحات ابن رشد الفيلسوف، مكتبة لبنان، بيروت، 2000، ص1، ص 567.</w:t>
      </w:r>
    </w:p>
  </w:footnote>
  <w:footnote w:id="24">
    <w:p w:rsidR="000F6035" w:rsidRPr="00D01BF5" w:rsidRDefault="000F6035" w:rsidP="000F6035">
      <w:pPr>
        <w:pStyle w:val="Notedebasdepage"/>
        <w:bidi/>
        <w:jc w:val="both"/>
        <w:rPr>
          <w:rFonts w:ascii="Simplified Arabic" w:hAnsi="Simplified Arabic" w:cs="Simplified Arabic"/>
          <w:sz w:val="24"/>
          <w:szCs w:val="24"/>
          <w:rtl/>
          <w:lang w:bidi="ar-DZ"/>
        </w:rPr>
      </w:pPr>
      <w:r w:rsidRPr="00D01BF5">
        <w:rPr>
          <w:rStyle w:val="Appelnotedebasdep"/>
          <w:rFonts w:ascii="Simplified Arabic" w:hAnsi="Simplified Arabic" w:cs="Simplified Arabic"/>
          <w:sz w:val="24"/>
          <w:szCs w:val="24"/>
        </w:rPr>
        <w:footnoteRef/>
      </w:r>
      <w:r w:rsidRPr="00D01BF5">
        <w:rPr>
          <w:rFonts w:ascii="Simplified Arabic" w:hAnsi="Simplified Arabic" w:cs="Simplified Arabic"/>
          <w:sz w:val="24"/>
          <w:szCs w:val="24"/>
          <w:rtl/>
        </w:rPr>
        <w:t>ابن رشد، تلخيص كتاب أرسطو طاليس في العبارة، ص 15.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savePreviewPicture/>
  <w:footnotePr>
    <w:footnote w:id="0"/>
    <w:footnote w:id="1"/>
  </w:footnotePr>
  <w:endnotePr>
    <w:endnote w:id="0"/>
    <w:endnote w:id="1"/>
  </w:endnotePr>
  <w:compat/>
  <w:rsids>
    <w:rsidRoot w:val="000F6035"/>
    <w:rsid w:val="000F6035"/>
    <w:rsid w:val="007A2862"/>
    <w:rsid w:val="00D617F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035"/>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F603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F6035"/>
    <w:rPr>
      <w:sz w:val="20"/>
      <w:szCs w:val="20"/>
    </w:rPr>
  </w:style>
  <w:style w:type="character" w:styleId="Appelnotedebasdep">
    <w:name w:val="footnote reference"/>
    <w:basedOn w:val="Policepardfaut"/>
    <w:uiPriority w:val="99"/>
    <w:semiHidden/>
    <w:unhideWhenUsed/>
    <w:rsid w:val="000F6035"/>
    <w:rPr>
      <w:vertAlign w:val="superscript"/>
    </w:rPr>
  </w:style>
  <w:style w:type="paragraph" w:styleId="En-tte">
    <w:name w:val="header"/>
    <w:basedOn w:val="Normal"/>
    <w:link w:val="En-tteCar"/>
    <w:uiPriority w:val="99"/>
    <w:semiHidden/>
    <w:unhideWhenUsed/>
    <w:rsid w:val="000F603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F6035"/>
  </w:style>
  <w:style w:type="paragraph" w:styleId="Pieddepage">
    <w:name w:val="footer"/>
    <w:basedOn w:val="Normal"/>
    <w:link w:val="PieddepageCar"/>
    <w:uiPriority w:val="99"/>
    <w:unhideWhenUsed/>
    <w:rsid w:val="000F60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F60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1765</Words>
  <Characters>9710</Characters>
  <Application>Microsoft Office Word</Application>
  <DocSecurity>0</DocSecurity>
  <Lines>80</Lines>
  <Paragraphs>22</Paragraphs>
  <ScaleCrop>false</ScaleCrop>
  <Company/>
  <LinksUpToDate>false</LinksUpToDate>
  <CharactersWithSpaces>11453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1</cp:revision>
  <dcterms:created xsi:type="dcterms:W3CDTF">2026-02-23T12:16:00Z</dcterms:created>
  <dcterms:modified xsi:type="dcterms:W3CDTF">2026-02-23T12:18:00Z</dcterms:modified>
</cp:coreProperties>
</file>