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3A" w:rsidRDefault="0040353A" w:rsidP="004035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Chapitre 5</w:t>
      </w:r>
    </w:p>
    <w:p w:rsidR="00777FB4" w:rsidRDefault="0040353A" w:rsidP="0040353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0353A">
        <w:rPr>
          <w:rFonts w:asciiTheme="majorBidi" w:hAnsiTheme="majorBidi" w:cstheme="majorBidi"/>
          <w:b/>
          <w:bCs/>
          <w:sz w:val="28"/>
          <w:szCs w:val="28"/>
        </w:rPr>
        <w:t>LES CHAINES DE MONTAGNES</w:t>
      </w:r>
    </w:p>
    <w:p w:rsidR="0040353A" w:rsidRDefault="0040353A" w:rsidP="004035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1-Introduction</w:t>
      </w:r>
    </w:p>
    <w:p w:rsidR="0040353A" w:rsidRPr="0040353A" w:rsidRDefault="0040353A" w:rsidP="00712DF2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color w:val="232321"/>
          <w:sz w:val="24"/>
          <w:szCs w:val="24"/>
        </w:rPr>
        <w:t xml:space="preserve">Les chaines de montagnes sont toujours le résultat d’un serrage tectonique résultant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toujours d’un phénomène de convergence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plaques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.</w:t>
      </w:r>
      <w:r w:rsidR="009613A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Quand une plaque lithosphérique portant une croûte continentale est ainsi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comprimée, elle se déforme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en un relief important et s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i la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déformation s’accentue, on obtient une véritable chaîne de montagnes.</w:t>
      </w:r>
    </w:p>
    <w:p w:rsidR="0040353A" w:rsidRPr="0040353A" w:rsidRDefault="0040353A" w:rsidP="0040353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232321"/>
          <w:sz w:val="24"/>
          <w:szCs w:val="24"/>
        </w:rPr>
      </w:pPr>
      <w:r w:rsidRPr="0040353A">
        <w:rPr>
          <w:rFonts w:asciiTheme="majorBidi" w:hAnsiTheme="majorBidi" w:cstheme="majorBidi"/>
          <w:color w:val="232321"/>
          <w:sz w:val="24"/>
          <w:szCs w:val="24"/>
        </w:rPr>
        <w:t>On étudiera successivement :</w:t>
      </w:r>
    </w:p>
    <w:p w:rsidR="0040353A" w:rsidRPr="00AE2DAF" w:rsidRDefault="0040353A" w:rsidP="0040353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i/>
          <w:iCs/>
          <w:color w:val="232321"/>
          <w:sz w:val="24"/>
          <w:szCs w:val="24"/>
        </w:rPr>
      </w:pPr>
      <w:r w:rsidRPr="00AE2DAF">
        <w:rPr>
          <w:rFonts w:asciiTheme="majorBidi" w:hAnsiTheme="majorBidi" w:cstheme="majorBidi"/>
          <w:i/>
          <w:iCs/>
          <w:color w:val="232321"/>
          <w:sz w:val="24"/>
          <w:szCs w:val="24"/>
        </w:rPr>
        <w:t>1. Les chaînes intracontinentales</w:t>
      </w:r>
    </w:p>
    <w:p w:rsidR="0040353A" w:rsidRPr="00AE2DAF" w:rsidRDefault="0040353A" w:rsidP="0040353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i/>
          <w:iCs/>
          <w:color w:val="232321"/>
          <w:sz w:val="24"/>
          <w:szCs w:val="24"/>
        </w:rPr>
      </w:pPr>
      <w:r w:rsidRPr="00AE2DAF">
        <w:rPr>
          <w:rFonts w:asciiTheme="majorBidi" w:hAnsiTheme="majorBidi" w:cstheme="majorBidi"/>
          <w:i/>
          <w:iCs/>
          <w:color w:val="232321"/>
          <w:sz w:val="24"/>
          <w:szCs w:val="24"/>
        </w:rPr>
        <w:t>2. les chaînes  intercontinentales</w:t>
      </w:r>
    </w:p>
    <w:p w:rsidR="0040353A" w:rsidRPr="0040353A" w:rsidRDefault="0040353A" w:rsidP="007045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0353A">
        <w:rPr>
          <w:rFonts w:asciiTheme="majorBidi" w:hAnsiTheme="majorBidi" w:cstheme="majorBidi"/>
          <w:color w:val="232321"/>
          <w:sz w:val="24"/>
          <w:szCs w:val="24"/>
        </w:rPr>
        <w:t>À ces deux cas extrêmes, les anciens auteurs donnaient le nom de « chaînes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socle » et « chaînes de couverture ». Ces termes de chaîne de socle ou de couverture n’ont en définitive qu’une valeur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descriptive. Il est plus intéressant de distinguer les chaînes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résultant d’un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 xml:space="preserve">bombement de leur socle et celles provenant d’un clivage </w:t>
      </w:r>
      <w:proofErr w:type="spellStart"/>
      <w:r w:rsidRPr="0040353A">
        <w:rPr>
          <w:rFonts w:asciiTheme="majorBidi" w:hAnsiTheme="majorBidi" w:cstheme="majorBidi"/>
          <w:color w:val="232321"/>
          <w:sz w:val="24"/>
          <w:szCs w:val="24"/>
        </w:rPr>
        <w:t>crustal</w:t>
      </w:r>
      <w:proofErr w:type="spellEnd"/>
      <w:r w:rsidRPr="0040353A">
        <w:rPr>
          <w:rFonts w:asciiTheme="majorBidi" w:hAnsiTheme="majorBidi" w:cstheme="majorBidi"/>
          <w:color w:val="232321"/>
          <w:sz w:val="24"/>
          <w:szCs w:val="24"/>
        </w:rPr>
        <w:t xml:space="preserve"> ou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40353A">
        <w:rPr>
          <w:rFonts w:asciiTheme="majorBidi" w:hAnsiTheme="majorBidi" w:cstheme="majorBidi"/>
          <w:color w:val="232321"/>
          <w:sz w:val="24"/>
          <w:szCs w:val="24"/>
        </w:rPr>
        <w:t>d’une subduction intracontinentale.</w:t>
      </w:r>
    </w:p>
    <w:p w:rsidR="0040353A" w:rsidRDefault="0040353A" w:rsidP="0071646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2-Les chaines intra</w:t>
      </w:r>
      <w:r w:rsidR="00716462">
        <w:rPr>
          <w:rFonts w:asciiTheme="majorBidi" w:hAnsiTheme="majorBidi" w:cstheme="majorBidi"/>
          <w:b/>
          <w:bCs/>
          <w:sz w:val="28"/>
          <w:szCs w:val="28"/>
        </w:rPr>
        <w:t>continentales</w:t>
      </w:r>
      <w:bookmarkStart w:id="0" w:name="_GoBack"/>
      <w:bookmarkEnd w:id="0"/>
    </w:p>
    <w:p w:rsidR="00704539" w:rsidRPr="00704539" w:rsidRDefault="00704539" w:rsidP="00AE2DA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704539">
        <w:rPr>
          <w:rFonts w:asciiTheme="majorBidi" w:hAnsiTheme="majorBidi" w:cstheme="majorBidi"/>
          <w:color w:val="232321"/>
          <w:sz w:val="24"/>
          <w:szCs w:val="24"/>
        </w:rPr>
        <w:t>Ce sont les structures qui apparaissent à la surface d’une lithosphère continentale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mise en compression. Elles sont group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ées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en deux catégories :</w:t>
      </w:r>
    </w:p>
    <w:p w:rsidR="00AE2DAF" w:rsidRDefault="00704539" w:rsidP="00AE2DA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– </w:t>
      </w:r>
      <w:r w:rsidRPr="00AE2DAF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Les </w:t>
      </w:r>
      <w:r w:rsidRPr="00AE2DAF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chaînes autonomes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, c’est-à-dire isolées au sein d’une plate-forme, comme le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Haut-Atlas ou les Pyrénées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 xml:space="preserve"> et</w:t>
      </w:r>
      <w:r w:rsidR="00712DF2">
        <w:rPr>
          <w:rFonts w:asciiTheme="majorBidi" w:hAnsiTheme="majorBidi" w:cstheme="majorBidi"/>
          <w:color w:val="232321"/>
          <w:sz w:val="24"/>
          <w:szCs w:val="24"/>
        </w:rPr>
        <w:t xml:space="preserve"> les </w:t>
      </w:r>
      <w:proofErr w:type="spellStart"/>
      <w:r w:rsidR="00712DF2">
        <w:rPr>
          <w:rFonts w:asciiTheme="majorBidi" w:hAnsiTheme="majorBidi" w:cstheme="majorBidi"/>
          <w:color w:val="232321"/>
          <w:sz w:val="24"/>
          <w:szCs w:val="24"/>
        </w:rPr>
        <w:t>Aures</w:t>
      </w:r>
      <w:proofErr w:type="spellEnd"/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. </w:t>
      </w:r>
    </w:p>
    <w:p w:rsidR="00704539" w:rsidRPr="00704539" w:rsidRDefault="00704539" w:rsidP="00AE2DA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Elles correspondent à un simple bombement de 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 xml:space="preserve">la </w:t>
      </w:r>
      <w:r w:rsidR="00AE2DAF" w:rsidRPr="00704539">
        <w:rPr>
          <w:rFonts w:asciiTheme="majorBidi" w:hAnsiTheme="majorBidi" w:cstheme="majorBidi"/>
          <w:color w:val="232321"/>
          <w:sz w:val="24"/>
          <w:szCs w:val="24"/>
        </w:rPr>
        <w:t>plate-forme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ou à un écaillage plus ou moins complexe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.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Au niveau des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accident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préexistant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,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telles que les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zone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transformante</w:t>
      </w:r>
      <w:r w:rsidR="00AE2DAF">
        <w:rPr>
          <w:rFonts w:asciiTheme="majorBidi" w:hAnsiTheme="majorBidi" w:cstheme="majorBidi"/>
          <w:color w:val="232321"/>
          <w:sz w:val="24"/>
          <w:szCs w:val="24"/>
        </w:rPr>
        <w:t>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,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un fossé d’effondrement, etc.;</w:t>
      </w:r>
    </w:p>
    <w:p w:rsidR="00704539" w:rsidRDefault="00704539" w:rsidP="00AE2DA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– </w:t>
      </w:r>
      <w:r w:rsidR="00AE2DAF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L</w:t>
      </w:r>
      <w:r w:rsidRPr="00AE2DAF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es annexes des grandes chaînes de collision continentale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. En effet, une fois le 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cœur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de ces grandes chaînes édifié et si le régime compressif persiste, la déformation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gagne des territoires nouveaux, extérieurs à la chaîne en finition et franchement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intracontinentaux (zone externe alpine), parfois fort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loin de la grande chaîne (Tian Shan). Ces nouvelles structures seront donc plus ou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moins contiguës aux précédentes et toujours plissées avec un temps de retard. </w:t>
      </w:r>
    </w:p>
    <w:p w:rsidR="00704539" w:rsidRDefault="00704539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Les </w:t>
      </w:r>
      <w:r w:rsidRPr="00AE2DAF">
        <w:rPr>
          <w:rFonts w:asciiTheme="majorBidi" w:hAnsiTheme="majorBidi" w:cstheme="majorBidi"/>
          <w:b/>
          <w:bCs/>
          <w:color w:val="232321"/>
          <w:sz w:val="24"/>
          <w:szCs w:val="24"/>
        </w:rPr>
        <w:t>chaînes intracontinentales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offrent tous les intermédiaires depuis celles qui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résultent d’un simple soulèvement du socle sous-jacent jusqu’à celles</w:t>
      </w:r>
      <w:r w:rsidR="0064182A">
        <w:rPr>
          <w:rFonts w:asciiTheme="majorBidi" w:hAnsiTheme="majorBidi" w:cstheme="majorBidi"/>
          <w:color w:val="232321"/>
          <w:sz w:val="24"/>
          <w:szCs w:val="24"/>
        </w:rPr>
        <w:t xml:space="preserve"> où le socle se raccourcit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par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clivage interne de la croûte ou subduction intracontinentale. Dans ce dernier cas la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couverture sédimentaire doit s’adapter au raccourcissement en se repliant sur elle</w:t>
      </w:r>
      <w:r>
        <w:rPr>
          <w:rFonts w:asciiTheme="majorBidi" w:hAnsiTheme="majorBidi" w:cstheme="majorBidi"/>
          <w:color w:val="232321"/>
          <w:sz w:val="24"/>
          <w:szCs w:val="24"/>
        </w:rPr>
        <w:t>-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même.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La chaîne n’est plus alors qu’un simple train de plis au sein desquels le socle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sous-jacent n’apparaît plus.</w:t>
      </w:r>
    </w:p>
    <w:p w:rsidR="0064182A" w:rsidRDefault="00704539" w:rsidP="007045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color w:val="232321"/>
          <w:sz w:val="24"/>
          <w:szCs w:val="24"/>
        </w:rPr>
        <w:t>À ces deux cas extrêmes, les anciens auteurs donnaient le nom de « chaînes de socle » et « chaînes de couverture ». Malheureusement cette terminologie est souvent délicate à manier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 car une chaîne donnée peut être provoquée par le soulèvement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de son socle, celui-ci restant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lastRenderedPageBreak/>
        <w:t>revêtu de sa couverture sédimentaire (Liban, Haut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>Atlas oriental), ou bien la chaîne est de socle ou de couverture suivant les points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704539">
        <w:rPr>
          <w:rFonts w:asciiTheme="majorBidi" w:hAnsiTheme="majorBidi" w:cstheme="majorBidi"/>
          <w:color w:val="232321"/>
          <w:sz w:val="24"/>
          <w:szCs w:val="24"/>
        </w:rPr>
        <w:t xml:space="preserve">(Pyrénées). </w:t>
      </w:r>
    </w:p>
    <w:p w:rsidR="0064182A" w:rsidRPr="0064182A" w:rsidRDefault="0064182A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b/>
          <w:bCs/>
          <w:color w:val="232321"/>
          <w:sz w:val="24"/>
          <w:szCs w:val="24"/>
        </w:rPr>
        <w:t>2-1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b/>
          <w:bCs/>
          <w:color w:val="232321"/>
          <w:sz w:val="24"/>
          <w:szCs w:val="24"/>
        </w:rPr>
        <w:t>Chaînes résultant d’un bombement de leur socle</w:t>
      </w:r>
    </w:p>
    <w:p w:rsidR="00B77764" w:rsidRDefault="0064182A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Celui-ci devrait traduire, </w:t>
      </w:r>
      <w:r w:rsidRPr="0064182A">
        <w:rPr>
          <w:rFonts w:asciiTheme="majorBidi" w:hAnsiTheme="majorBidi" w:cstheme="majorBidi"/>
          <w:i/>
          <w:iCs/>
          <w:color w:val="232321"/>
          <w:sz w:val="24"/>
          <w:szCs w:val="24"/>
        </w:rPr>
        <w:t>a priori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, soit un sur</w:t>
      </w:r>
      <w:r>
        <w:rPr>
          <w:rFonts w:asciiTheme="majorBidi" w:hAnsiTheme="majorBidi" w:cstheme="majorBidi"/>
          <w:color w:val="232321"/>
          <w:sz w:val="24"/>
          <w:szCs w:val="24"/>
        </w:rPr>
        <w:t>-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épaississement de la croûte ou de la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lithosphère</w:t>
      </w:r>
      <w:r w:rsidR="00B77764">
        <w:rPr>
          <w:rFonts w:asciiTheme="majorBidi" w:hAnsiTheme="majorBidi" w:cstheme="majorBidi"/>
          <w:color w:val="232321"/>
          <w:sz w:val="24"/>
          <w:szCs w:val="24"/>
        </w:rPr>
        <w:t>,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 soit une véritable structure arquée de cette dernière entraînant un soulèvement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correspondant de l’asthénosphère sous-jacente.</w:t>
      </w:r>
    </w:p>
    <w:p w:rsidR="0064182A" w:rsidRPr="0064182A" w:rsidRDefault="0064182A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color w:val="232321"/>
          <w:sz w:val="24"/>
          <w:szCs w:val="24"/>
        </w:rPr>
        <w:t>L’apparition de ces structures serait évidemment facilitée par l’existence de zones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faiblesse préexistantes de la croûte granito-gneissique, telles qu’un amincissement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de celle-ci (bassins </w:t>
      </w:r>
      <w:proofErr w:type="spellStart"/>
      <w:r w:rsidRPr="0064182A">
        <w:rPr>
          <w:rFonts w:asciiTheme="majorBidi" w:hAnsiTheme="majorBidi" w:cstheme="majorBidi"/>
          <w:color w:val="232321"/>
          <w:sz w:val="24"/>
          <w:szCs w:val="24"/>
        </w:rPr>
        <w:t>subsidents</w:t>
      </w:r>
      <w:proofErr w:type="spellEnd"/>
      <w:r w:rsidRPr="0064182A">
        <w:rPr>
          <w:rFonts w:asciiTheme="majorBidi" w:hAnsiTheme="majorBidi" w:cstheme="majorBidi"/>
          <w:color w:val="232321"/>
          <w:sz w:val="24"/>
          <w:szCs w:val="24"/>
        </w:rPr>
        <w:t>) ou la présence de faisceaux de failles susceptibles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fonctionner comme rampes.</w:t>
      </w:r>
    </w:p>
    <w:p w:rsidR="0064182A" w:rsidRPr="0064182A" w:rsidRDefault="0064182A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b/>
          <w:bCs/>
          <w:color w:val="232321"/>
          <w:sz w:val="24"/>
          <w:szCs w:val="24"/>
        </w:rPr>
        <w:t>2.1.1 Cas simples</w:t>
      </w:r>
    </w:p>
    <w:p w:rsidR="0064182A" w:rsidRPr="0064182A" w:rsidRDefault="0064182A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color w:val="232321"/>
          <w:sz w:val="24"/>
          <w:szCs w:val="24"/>
        </w:rPr>
        <w:t>La surface de la croûte continentale dessine une voûte, éventuellement affectée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failles inverses à double vergence, qui soulève sa couverture.</w:t>
      </w:r>
    </w:p>
    <w:p w:rsidR="0064182A" w:rsidRPr="0064182A" w:rsidRDefault="0064182A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i/>
          <w:iCs/>
          <w:color w:val="232321"/>
          <w:sz w:val="24"/>
          <w:szCs w:val="24"/>
          <w:lang w:val="en-GB"/>
        </w:rPr>
      </w:pPr>
      <w:r w:rsidRPr="00B77764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  <w:lang w:val="en-GB"/>
        </w:rPr>
        <w:t xml:space="preserve">a) </w:t>
      </w:r>
      <w:proofErr w:type="spellStart"/>
      <w:r w:rsidRPr="00B77764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  <w:lang w:val="en-GB"/>
        </w:rPr>
        <w:t>L’Anti</w:t>
      </w:r>
      <w:proofErr w:type="spellEnd"/>
      <w:r w:rsidRPr="00B77764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  <w:lang w:val="en-GB"/>
        </w:rPr>
        <w:t xml:space="preserve">-Atlas </w:t>
      </w:r>
      <w:proofErr w:type="spellStart"/>
      <w:r w:rsidRPr="00B77764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  <w:lang w:val="en-GB"/>
        </w:rPr>
        <w:t>marocain</w:t>
      </w:r>
      <w:proofErr w:type="spellEnd"/>
      <w:r w:rsidRPr="0064182A">
        <w:rPr>
          <w:rFonts w:asciiTheme="majorBidi" w:hAnsiTheme="majorBidi" w:cstheme="majorBidi"/>
          <w:i/>
          <w:iCs/>
          <w:color w:val="232321"/>
          <w:sz w:val="24"/>
          <w:szCs w:val="24"/>
          <w:lang w:val="en-GB"/>
        </w:rPr>
        <w:t xml:space="preserve"> (fig. 7.1)</w:t>
      </w:r>
    </w:p>
    <w:p w:rsidR="0064182A" w:rsidRDefault="003F242B" w:rsidP="0064182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34C641FF" wp14:editId="34DEB3B2">
            <wp:simplePos x="0" y="0"/>
            <wp:positionH relativeFrom="column">
              <wp:posOffset>2285365</wp:posOffset>
            </wp:positionH>
            <wp:positionV relativeFrom="paragraph">
              <wp:posOffset>838835</wp:posOffset>
            </wp:positionV>
            <wp:extent cx="3608070" cy="276288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Ce n’est qu’un simple et large bombement de matériel paléozoïque, à </w:t>
      </w:r>
      <w:proofErr w:type="spellStart"/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>coeur</w:t>
      </w:r>
      <w:proofErr w:type="spellEnd"/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 précambrien,</w:t>
      </w:r>
      <w:r w:rsidR="0064182A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>dépourvu de couverture secondaire et tertiaire, qui a été soulevé pour la</w:t>
      </w:r>
      <w:r w:rsidR="0064182A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>première fois au cours de l’orogenèse hercynienne, puis à nouveau à la fin du</w:t>
      </w:r>
      <w:r w:rsidR="0064182A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>Tertiaire et au Quaternaire jusqu’à 2 500 m. Ces derniers mouvements ont été enregistrés</w:t>
      </w:r>
      <w:r w:rsidR="0064182A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="0064182A" w:rsidRPr="0064182A">
        <w:rPr>
          <w:rFonts w:asciiTheme="majorBidi" w:hAnsiTheme="majorBidi" w:cstheme="majorBidi"/>
          <w:color w:val="232321"/>
          <w:sz w:val="24"/>
          <w:szCs w:val="24"/>
        </w:rPr>
        <w:t>et donc datés par les déformations du Néogène des bassins voisins.</w:t>
      </w:r>
      <w:r w:rsidR="0064182A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</w:p>
    <w:p w:rsidR="0064182A" w:rsidRDefault="0064182A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64182A">
        <w:rPr>
          <w:rFonts w:asciiTheme="majorBidi" w:hAnsiTheme="majorBidi" w:cstheme="majorBidi"/>
          <w:color w:val="232321"/>
          <w:sz w:val="24"/>
          <w:szCs w:val="24"/>
        </w:rPr>
        <w:t>Le plissement-soulèvement s’accompagne d’une certaine fracturation laissant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passage à un volcanisme </w:t>
      </w:r>
      <w:proofErr w:type="spellStart"/>
      <w:r w:rsidRPr="0064182A">
        <w:rPr>
          <w:rFonts w:asciiTheme="majorBidi" w:hAnsiTheme="majorBidi" w:cstheme="majorBidi"/>
          <w:color w:val="232321"/>
          <w:sz w:val="24"/>
          <w:szCs w:val="24"/>
        </w:rPr>
        <w:t>plio</w:t>
      </w:r>
      <w:proofErr w:type="spellEnd"/>
      <w:r w:rsidRPr="0064182A">
        <w:rPr>
          <w:rFonts w:asciiTheme="majorBidi" w:hAnsiTheme="majorBidi" w:cstheme="majorBidi"/>
          <w:color w:val="232321"/>
          <w:sz w:val="24"/>
          <w:szCs w:val="24"/>
        </w:rPr>
        <w:t>-quaternaire. L’édifice volcanique le plus important est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celui du Djebel </w:t>
      </w:r>
      <w:proofErr w:type="spellStart"/>
      <w:r w:rsidRPr="0064182A">
        <w:rPr>
          <w:rFonts w:asciiTheme="majorBidi" w:hAnsiTheme="majorBidi" w:cstheme="majorBidi"/>
          <w:color w:val="232321"/>
          <w:sz w:val="24"/>
          <w:szCs w:val="24"/>
        </w:rPr>
        <w:t>Siroua</w:t>
      </w:r>
      <w:proofErr w:type="spellEnd"/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, à l’W de Ouarzazate, </w:t>
      </w:r>
      <w:proofErr w:type="spellStart"/>
      <w:r w:rsidRPr="0064182A">
        <w:rPr>
          <w:rFonts w:asciiTheme="majorBidi" w:hAnsiTheme="majorBidi" w:cstheme="majorBidi"/>
          <w:color w:val="232321"/>
          <w:sz w:val="24"/>
          <w:szCs w:val="24"/>
        </w:rPr>
        <w:t>strato-volcan</w:t>
      </w:r>
      <w:proofErr w:type="spellEnd"/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 montrant des </w:t>
      </w:r>
      <w:proofErr w:type="spellStart"/>
      <w:r w:rsidRPr="0064182A">
        <w:rPr>
          <w:rFonts w:asciiTheme="majorBidi" w:hAnsiTheme="majorBidi" w:cstheme="majorBidi"/>
          <w:color w:val="232321"/>
          <w:sz w:val="24"/>
          <w:szCs w:val="24"/>
        </w:rPr>
        <w:t>trachyandésites</w:t>
      </w:r>
      <w:proofErr w:type="spellEnd"/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fini</w:t>
      </w:r>
      <w:r w:rsidR="00B77764">
        <w:rPr>
          <w:rFonts w:asciiTheme="majorBidi" w:hAnsiTheme="majorBidi" w:cstheme="majorBidi"/>
          <w:color w:val="232321"/>
          <w:sz w:val="24"/>
          <w:szCs w:val="24"/>
        </w:rPr>
        <w:t>-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 xml:space="preserve">miocènes (10 à 6 Ma) surmontées de basaltes et de phonolites </w:t>
      </w:r>
      <w:proofErr w:type="spellStart"/>
      <w:r w:rsidRPr="0064182A">
        <w:rPr>
          <w:rFonts w:asciiTheme="majorBidi" w:hAnsiTheme="majorBidi" w:cstheme="majorBidi"/>
          <w:color w:val="232321"/>
          <w:sz w:val="24"/>
          <w:szCs w:val="24"/>
        </w:rPr>
        <w:t>plio</w:t>
      </w:r>
      <w:proofErr w:type="spellEnd"/>
      <w:r w:rsidRPr="0064182A">
        <w:rPr>
          <w:rFonts w:asciiTheme="majorBidi" w:hAnsiTheme="majorBidi" w:cstheme="majorBidi"/>
          <w:color w:val="232321"/>
          <w:sz w:val="24"/>
          <w:szCs w:val="24"/>
        </w:rPr>
        <w:t>-quaternaires.</w:t>
      </w:r>
      <w:r w:rsidR="00B77764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64182A">
        <w:rPr>
          <w:rFonts w:asciiTheme="majorBidi" w:hAnsiTheme="majorBidi" w:cstheme="majorBidi"/>
          <w:color w:val="232321"/>
          <w:sz w:val="24"/>
          <w:szCs w:val="24"/>
        </w:rPr>
        <w:t>Ce volcanisme est toujours alcalin.</w:t>
      </w:r>
    </w:p>
    <w:p w:rsidR="00B77764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6AF54A9C" wp14:editId="5F3C26A0">
            <wp:simplePos x="0" y="0"/>
            <wp:positionH relativeFrom="column">
              <wp:posOffset>2732405</wp:posOffset>
            </wp:positionH>
            <wp:positionV relativeFrom="paragraph">
              <wp:posOffset>22225</wp:posOffset>
            </wp:positionV>
            <wp:extent cx="2946400" cy="1706245"/>
            <wp:effectExtent l="0" t="0" r="6350" b="8255"/>
            <wp:wrapSquare wrapText="bothSides"/>
            <wp:docPr id="2" name="Image 2" descr="Carte de l'Atlas montrant l'Anti-Atlas au sud-ou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e de l'Atlas montrant l'Anti-Atlas au sud-oues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42B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</w:p>
    <w:p w:rsidR="003F242B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2B3439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lastRenderedPageBreak/>
        <w:drawing>
          <wp:inline distT="0" distB="0" distL="0" distR="0" wp14:anchorId="7CDA06D0" wp14:editId="534456EB">
            <wp:extent cx="5760720" cy="56578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9" w:rsidRDefault="002B3439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B77764" w:rsidRPr="00B77764" w:rsidRDefault="00B77764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  <w:r w:rsidRPr="00B77764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 xml:space="preserve">b) Les montagnes Rocheuses du Wyoming et du Colorado (États-Unis, </w:t>
      </w:r>
      <w:r w:rsidRPr="00B77764">
        <w:rPr>
          <w:rFonts w:asciiTheme="majorBidi" w:hAnsiTheme="majorBidi" w:cstheme="majorBidi"/>
          <w:b/>
          <w:bCs/>
          <w:color w:val="232321"/>
          <w:sz w:val="24"/>
          <w:szCs w:val="24"/>
        </w:rPr>
        <w:t>fig. 7.2</w:t>
      </w:r>
      <w:r w:rsidRPr="00B77764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)</w:t>
      </w:r>
    </w:p>
    <w:p w:rsidR="00B77764" w:rsidRPr="00B77764" w:rsidRDefault="00B77764" w:rsidP="00B77764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 w:rsidRPr="00B77764">
        <w:rPr>
          <w:rFonts w:asciiTheme="majorBidi" w:hAnsiTheme="majorBidi" w:cstheme="majorBidi"/>
          <w:color w:val="232321"/>
        </w:rPr>
        <w:t>On a là plusieurs chaînons atteignant parfois 4 000 m de hauteur, orientés NS (Laramie</w:t>
      </w:r>
      <w:r>
        <w:rPr>
          <w:rFonts w:asciiTheme="majorBidi" w:hAnsiTheme="majorBidi" w:cstheme="majorBidi"/>
          <w:color w:val="232321"/>
        </w:rPr>
        <w:t xml:space="preserve"> </w:t>
      </w:r>
      <w:proofErr w:type="spellStart"/>
      <w:r w:rsidRPr="00B77764">
        <w:rPr>
          <w:rFonts w:asciiTheme="majorBidi" w:hAnsiTheme="majorBidi" w:cstheme="majorBidi"/>
          <w:color w:val="232321"/>
        </w:rPr>
        <w:t>Mountains</w:t>
      </w:r>
      <w:proofErr w:type="spellEnd"/>
      <w:r w:rsidRPr="00B77764">
        <w:rPr>
          <w:rFonts w:asciiTheme="majorBidi" w:hAnsiTheme="majorBidi" w:cstheme="majorBidi"/>
          <w:color w:val="232321"/>
        </w:rPr>
        <w:t>, Front Range) ou EW (</w:t>
      </w:r>
      <w:proofErr w:type="spellStart"/>
      <w:r w:rsidRPr="00B77764">
        <w:rPr>
          <w:rFonts w:asciiTheme="majorBidi" w:hAnsiTheme="majorBidi" w:cstheme="majorBidi"/>
          <w:color w:val="232321"/>
        </w:rPr>
        <w:t>Uinta</w:t>
      </w:r>
      <w:proofErr w:type="spellEnd"/>
      <w:r w:rsidRPr="00B77764">
        <w:rPr>
          <w:rFonts w:asciiTheme="majorBidi" w:hAnsiTheme="majorBidi" w:cstheme="majorBidi"/>
          <w:color w:val="232321"/>
        </w:rPr>
        <w:t xml:space="preserve"> </w:t>
      </w:r>
      <w:proofErr w:type="spellStart"/>
      <w:r w:rsidRPr="00B77764">
        <w:rPr>
          <w:rFonts w:asciiTheme="majorBidi" w:hAnsiTheme="majorBidi" w:cstheme="majorBidi"/>
          <w:color w:val="232321"/>
        </w:rPr>
        <w:t>Mountains</w:t>
      </w:r>
      <w:proofErr w:type="spellEnd"/>
      <w:r w:rsidRPr="00B77764">
        <w:rPr>
          <w:rFonts w:asciiTheme="majorBidi" w:hAnsiTheme="majorBidi" w:cstheme="majorBidi"/>
          <w:color w:val="232321"/>
        </w:rPr>
        <w:t xml:space="preserve">). Toutes </w:t>
      </w:r>
      <w:r w:rsidR="009613AE">
        <w:rPr>
          <w:rFonts w:asciiTheme="majorBidi" w:hAnsiTheme="majorBidi" w:cstheme="majorBidi"/>
          <w:color w:val="232321"/>
        </w:rPr>
        <w:t xml:space="preserve">les montagnes </w:t>
      </w:r>
      <w:r w:rsidRPr="00B77764">
        <w:rPr>
          <w:rFonts w:asciiTheme="majorBidi" w:hAnsiTheme="majorBidi" w:cstheme="majorBidi"/>
          <w:color w:val="232321"/>
        </w:rPr>
        <w:t xml:space="preserve">montrent un </w:t>
      </w:r>
      <w:proofErr w:type="spellStart"/>
      <w:r w:rsidRPr="00B77764">
        <w:rPr>
          <w:rFonts w:asciiTheme="majorBidi" w:hAnsiTheme="majorBidi" w:cstheme="majorBidi"/>
          <w:color w:val="232321"/>
        </w:rPr>
        <w:t>coeur</w:t>
      </w:r>
      <w:proofErr w:type="spellEnd"/>
      <w:r w:rsidRPr="00B77764">
        <w:rPr>
          <w:rFonts w:asciiTheme="majorBidi" w:hAnsiTheme="majorBidi" w:cstheme="majorBidi"/>
          <w:color w:val="232321"/>
        </w:rPr>
        <w:t xml:space="preserve"> précambrien</w:t>
      </w:r>
      <w:r>
        <w:rPr>
          <w:rFonts w:asciiTheme="majorBidi" w:hAnsiTheme="majorBidi" w:cstheme="majorBidi"/>
          <w:color w:val="232321"/>
        </w:rPr>
        <w:t xml:space="preserve"> </w:t>
      </w:r>
      <w:r w:rsidRPr="00B77764">
        <w:rPr>
          <w:rFonts w:asciiTheme="majorBidi" w:hAnsiTheme="majorBidi" w:cstheme="majorBidi"/>
          <w:color w:val="232321"/>
        </w:rPr>
        <w:t>largement soulevé</w:t>
      </w:r>
      <w:r w:rsidR="009613AE">
        <w:rPr>
          <w:rFonts w:asciiTheme="majorBidi" w:hAnsiTheme="majorBidi" w:cstheme="majorBidi"/>
          <w:color w:val="232321"/>
        </w:rPr>
        <w:t>es</w:t>
      </w:r>
      <w:r w:rsidRPr="00B77764">
        <w:rPr>
          <w:rFonts w:asciiTheme="majorBidi" w:hAnsiTheme="majorBidi" w:cstheme="majorBidi"/>
          <w:color w:val="232321"/>
        </w:rPr>
        <w:t xml:space="preserve"> avec quelques restes d’une couverture primaire et secondaire :</w:t>
      </w:r>
      <w:r>
        <w:rPr>
          <w:rFonts w:asciiTheme="majorBidi" w:hAnsiTheme="majorBidi" w:cstheme="majorBidi"/>
          <w:color w:val="232321"/>
        </w:rPr>
        <w:t xml:space="preserve"> L</w:t>
      </w:r>
      <w:r w:rsidRPr="00B77764">
        <w:rPr>
          <w:rFonts w:asciiTheme="majorBidi" w:hAnsiTheme="majorBidi" w:cstheme="majorBidi"/>
          <w:color w:val="232321"/>
        </w:rPr>
        <w:t>es faciès y sont d’eau peu profonde, beaucoup franchement continentaux.</w:t>
      </w:r>
    </w:p>
    <w:p w:rsidR="00B77764" w:rsidRPr="00B77764" w:rsidRDefault="00235586" w:rsidP="003F242B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66269445" wp14:editId="71130BE8">
            <wp:simplePos x="0" y="0"/>
            <wp:positionH relativeFrom="column">
              <wp:posOffset>2907665</wp:posOffset>
            </wp:positionH>
            <wp:positionV relativeFrom="paragraph">
              <wp:posOffset>270510</wp:posOffset>
            </wp:positionV>
            <wp:extent cx="2623820" cy="3657600"/>
            <wp:effectExtent l="0" t="0" r="508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42B"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t>La</w:t>
      </w:r>
      <w:r w:rsidR="00B77764" w:rsidRPr="00B77764">
        <w:rPr>
          <w:rFonts w:asciiTheme="majorBidi" w:hAnsiTheme="majorBidi" w:cstheme="majorBidi"/>
          <w:color w:val="232321"/>
        </w:rPr>
        <w:t xml:space="preserve"> croûte sous-jacente à ces montagnes</w:t>
      </w:r>
      <w:r w:rsidR="00B77764">
        <w:rPr>
          <w:rFonts w:asciiTheme="majorBidi" w:hAnsiTheme="majorBidi" w:cstheme="majorBidi"/>
          <w:color w:val="232321"/>
        </w:rPr>
        <w:t xml:space="preserve"> </w:t>
      </w:r>
      <w:r w:rsidR="00B77764" w:rsidRPr="00B77764">
        <w:rPr>
          <w:rFonts w:asciiTheme="majorBidi" w:hAnsiTheme="majorBidi" w:cstheme="majorBidi"/>
          <w:color w:val="232321"/>
        </w:rPr>
        <w:t>était affectée de failles inverses très nettes dont certaines se prolongeaient en surface</w:t>
      </w:r>
      <w:r w:rsidR="00B77764">
        <w:rPr>
          <w:rFonts w:asciiTheme="majorBidi" w:hAnsiTheme="majorBidi" w:cstheme="majorBidi"/>
          <w:color w:val="232321"/>
        </w:rPr>
        <w:t xml:space="preserve"> </w:t>
      </w:r>
      <w:r w:rsidR="00B77764" w:rsidRPr="00B77764">
        <w:rPr>
          <w:rFonts w:asciiTheme="majorBidi" w:hAnsiTheme="majorBidi" w:cstheme="majorBidi"/>
          <w:color w:val="232321"/>
        </w:rPr>
        <w:t xml:space="preserve">par les failles de chevauchement évoquées. </w:t>
      </w:r>
      <w:r w:rsidR="003F242B">
        <w:rPr>
          <w:rFonts w:asciiTheme="majorBidi" w:hAnsiTheme="majorBidi" w:cstheme="majorBidi"/>
          <w:color w:val="232321"/>
        </w:rPr>
        <w:t>E</w:t>
      </w:r>
      <w:r w:rsidR="00B77764" w:rsidRPr="00B77764">
        <w:rPr>
          <w:rFonts w:asciiTheme="majorBidi" w:hAnsiTheme="majorBidi" w:cstheme="majorBidi"/>
          <w:color w:val="232321"/>
        </w:rPr>
        <w:t xml:space="preserve">lles </w:t>
      </w:r>
      <w:r w:rsidR="00B77764" w:rsidRPr="00B77764">
        <w:rPr>
          <w:rFonts w:asciiTheme="majorBidi" w:hAnsiTheme="majorBidi" w:cstheme="majorBidi"/>
          <w:color w:val="232321"/>
        </w:rPr>
        <w:lastRenderedPageBreak/>
        <w:t>expriment un raccourcissement</w:t>
      </w:r>
      <w:r w:rsidR="00B77764">
        <w:rPr>
          <w:rFonts w:asciiTheme="majorBidi" w:hAnsiTheme="majorBidi" w:cstheme="majorBidi"/>
          <w:color w:val="232321"/>
        </w:rPr>
        <w:t xml:space="preserve"> </w:t>
      </w:r>
      <w:proofErr w:type="spellStart"/>
      <w:r w:rsidR="00B77764" w:rsidRPr="00B77764">
        <w:rPr>
          <w:rFonts w:asciiTheme="majorBidi" w:hAnsiTheme="majorBidi" w:cstheme="majorBidi"/>
          <w:color w:val="232321"/>
        </w:rPr>
        <w:t>crustal</w:t>
      </w:r>
      <w:proofErr w:type="spellEnd"/>
      <w:r w:rsidR="00B77764" w:rsidRPr="00B77764">
        <w:rPr>
          <w:rFonts w:asciiTheme="majorBidi" w:hAnsiTheme="majorBidi" w:cstheme="majorBidi"/>
          <w:color w:val="232321"/>
        </w:rPr>
        <w:t xml:space="preserve"> important dont les modalités locales reflètent souvent des discontinuités</w:t>
      </w:r>
      <w:r w:rsidR="00B77764">
        <w:rPr>
          <w:rFonts w:asciiTheme="majorBidi" w:hAnsiTheme="majorBidi" w:cstheme="majorBidi"/>
          <w:color w:val="232321"/>
        </w:rPr>
        <w:t xml:space="preserve"> </w:t>
      </w:r>
      <w:r w:rsidR="00B77764" w:rsidRPr="00B77764">
        <w:rPr>
          <w:rFonts w:asciiTheme="majorBidi" w:hAnsiTheme="majorBidi" w:cstheme="majorBidi"/>
          <w:color w:val="232321"/>
        </w:rPr>
        <w:t>précambriennes.</w:t>
      </w:r>
    </w:p>
    <w:p w:rsidR="00B77764" w:rsidRDefault="00B77764" w:rsidP="0023558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B77764">
        <w:rPr>
          <w:rFonts w:asciiTheme="majorBidi" w:hAnsiTheme="majorBidi" w:cstheme="majorBidi"/>
          <w:color w:val="232321"/>
          <w:sz w:val="24"/>
          <w:szCs w:val="24"/>
        </w:rPr>
        <w:t>Il faut ajouter que le plissement et le soulèvement de ces chaînes s’est accompagné d’une certaine fracturation secondaire laissant passage à un magmatisme alcalin banal.</w:t>
      </w: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3F242B" w:rsidRDefault="003F242B" w:rsidP="000C441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235586" w:rsidRDefault="00235586" w:rsidP="000C441E">
      <w:pPr>
        <w:autoSpaceDE w:val="0"/>
        <w:autoSpaceDN w:val="0"/>
        <w:adjustRightInd w:val="0"/>
        <w:spacing w:after="120" w:line="240" w:lineRule="auto"/>
        <w:rPr>
          <w:rFonts w:ascii="Frutiger-Italic" w:hAnsi="Frutiger-Italic" w:cs="Frutiger-Italic"/>
          <w:i/>
          <w:iCs/>
          <w:color w:val="232321"/>
          <w:sz w:val="20"/>
          <w:szCs w:val="20"/>
        </w:rPr>
      </w:pPr>
      <w:r w:rsidRPr="00235586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c) Le Liban, l’Anti-Liban et les Monts de Palmyre (</w:t>
      </w:r>
      <w:proofErr w:type="spellStart"/>
      <w:r w:rsidRPr="00235586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Palmyrides</w:t>
      </w:r>
      <w:proofErr w:type="spellEnd"/>
      <w:r>
        <w:rPr>
          <w:rFonts w:ascii="Frutiger-Italic" w:hAnsi="Frutiger-Italic" w:cs="Frutiger-Italic"/>
          <w:i/>
          <w:iCs/>
          <w:color w:val="232321"/>
          <w:sz w:val="20"/>
          <w:szCs w:val="20"/>
        </w:rPr>
        <w:t>)</w:t>
      </w:r>
    </w:p>
    <w:p w:rsidR="00235586" w:rsidRPr="00087F11" w:rsidRDefault="00235586" w:rsidP="000C441E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087F11">
        <w:rPr>
          <w:rFonts w:asciiTheme="majorBidi" w:hAnsiTheme="majorBidi" w:cstheme="majorBidi"/>
          <w:color w:val="232321"/>
          <w:sz w:val="24"/>
          <w:szCs w:val="24"/>
        </w:rPr>
        <w:t>La montagne du Liban (3 096 m) et son annexe l’Anti-Liban (2 814 m), séparées par</w:t>
      </w:r>
      <w:r w:rsidR="000C441E"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le synclinal de la Bekaa, sont deux plis de fond, à </w:t>
      </w:r>
      <w:proofErr w:type="spellStart"/>
      <w:r w:rsidRPr="00087F11">
        <w:rPr>
          <w:rFonts w:asciiTheme="majorBidi" w:hAnsiTheme="majorBidi" w:cstheme="majorBidi"/>
          <w:color w:val="232321"/>
          <w:sz w:val="24"/>
          <w:szCs w:val="24"/>
        </w:rPr>
        <w:t>coeur</w:t>
      </w:r>
      <w:proofErr w:type="spellEnd"/>
      <w:r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 jurassique </w:t>
      </w:r>
      <w:r w:rsidRPr="00087F11">
        <w:rPr>
          <w:rFonts w:asciiTheme="majorBidi" w:hAnsiTheme="majorBidi" w:cstheme="majorBidi"/>
          <w:i/>
          <w:iCs/>
          <w:color w:val="232321"/>
          <w:sz w:val="24"/>
          <w:szCs w:val="24"/>
        </w:rPr>
        <w:t>(fig. 7.3)</w:t>
      </w:r>
      <w:r w:rsidRPr="00087F11">
        <w:rPr>
          <w:rFonts w:asciiTheme="majorBidi" w:hAnsiTheme="majorBidi" w:cstheme="majorBidi"/>
          <w:color w:val="232321"/>
          <w:sz w:val="24"/>
          <w:szCs w:val="24"/>
        </w:rPr>
        <w:t>, affectant</w:t>
      </w:r>
      <w:r w:rsidR="000C441E"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087F11">
        <w:rPr>
          <w:rFonts w:asciiTheme="majorBidi" w:hAnsiTheme="majorBidi" w:cstheme="majorBidi"/>
          <w:color w:val="232321"/>
          <w:sz w:val="24"/>
          <w:szCs w:val="24"/>
        </w:rPr>
        <w:t>la plate-forme arabe de part et d’autre de la faille du Jourdain qui prend, dans ce</w:t>
      </w:r>
      <w:r w:rsidR="000C441E"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secteur, une direction SW-NE et le nom de faille de </w:t>
      </w:r>
      <w:proofErr w:type="spellStart"/>
      <w:r w:rsidRPr="00087F11">
        <w:rPr>
          <w:rFonts w:asciiTheme="majorBidi" w:hAnsiTheme="majorBidi" w:cstheme="majorBidi"/>
          <w:color w:val="232321"/>
          <w:sz w:val="24"/>
          <w:szCs w:val="24"/>
        </w:rPr>
        <w:t>Yammouna</w:t>
      </w:r>
      <w:proofErr w:type="spellEnd"/>
      <w:r w:rsidRPr="00087F11">
        <w:rPr>
          <w:rFonts w:asciiTheme="majorBidi" w:hAnsiTheme="majorBidi" w:cstheme="majorBidi"/>
          <w:color w:val="232321"/>
          <w:sz w:val="24"/>
          <w:szCs w:val="24"/>
        </w:rPr>
        <w:t xml:space="preserve"> (ou </w:t>
      </w:r>
      <w:proofErr w:type="spellStart"/>
      <w:r w:rsidRPr="00087F11">
        <w:rPr>
          <w:rFonts w:asciiTheme="majorBidi" w:hAnsiTheme="majorBidi" w:cstheme="majorBidi"/>
          <w:color w:val="232321"/>
          <w:sz w:val="24"/>
          <w:szCs w:val="24"/>
        </w:rPr>
        <w:t>Yamuneh</w:t>
      </w:r>
      <w:proofErr w:type="spellEnd"/>
      <w:r w:rsidRPr="00087F11">
        <w:rPr>
          <w:rFonts w:asciiTheme="majorBidi" w:hAnsiTheme="majorBidi" w:cstheme="majorBidi"/>
          <w:color w:val="232321"/>
          <w:sz w:val="24"/>
          <w:szCs w:val="24"/>
        </w:rPr>
        <w:t>).</w:t>
      </w:r>
    </w:p>
    <w:p w:rsidR="00196F8F" w:rsidRPr="00196F8F" w:rsidRDefault="00196F8F" w:rsidP="00087F11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196F8F">
        <w:rPr>
          <w:rFonts w:asciiTheme="majorBidi" w:hAnsiTheme="majorBidi" w:cstheme="majorBidi"/>
          <w:color w:val="232321"/>
          <w:sz w:val="24"/>
          <w:szCs w:val="24"/>
        </w:rPr>
        <w:t xml:space="preserve">L’Anti-Liban </w:t>
      </w:r>
      <w:r w:rsidR="00087F11">
        <w:rPr>
          <w:rFonts w:asciiTheme="majorBidi" w:hAnsiTheme="majorBidi" w:cstheme="majorBidi"/>
          <w:color w:val="232321"/>
          <w:sz w:val="24"/>
          <w:szCs w:val="24"/>
        </w:rPr>
        <w:t xml:space="preserve">long de </w:t>
      </w:r>
      <w:r w:rsidR="00087F11" w:rsidRPr="00196F8F">
        <w:rPr>
          <w:rFonts w:asciiTheme="majorBidi" w:hAnsiTheme="majorBidi" w:cstheme="majorBidi"/>
          <w:color w:val="232321"/>
          <w:sz w:val="24"/>
          <w:szCs w:val="24"/>
        </w:rPr>
        <w:t xml:space="preserve">400 km vers le NE </w:t>
      </w:r>
      <w:r w:rsidRPr="00196F8F">
        <w:rPr>
          <w:rFonts w:asciiTheme="majorBidi" w:hAnsiTheme="majorBidi" w:cstheme="majorBidi"/>
          <w:color w:val="232321"/>
          <w:sz w:val="24"/>
          <w:szCs w:val="24"/>
        </w:rPr>
        <w:t>est relayé, à l’E de Damas, par les Monts de Palmyre</w:t>
      </w:r>
      <w:r w:rsidR="00087F11">
        <w:rPr>
          <w:rFonts w:asciiTheme="majorBidi" w:hAnsiTheme="majorBidi" w:cstheme="majorBidi"/>
          <w:color w:val="232321"/>
          <w:sz w:val="24"/>
          <w:szCs w:val="24"/>
        </w:rPr>
        <w:t>.</w:t>
      </w:r>
      <w:r w:rsidRPr="00196F8F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</w:p>
    <w:p w:rsidR="00196F8F" w:rsidRPr="00196F8F" w:rsidRDefault="00196F8F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</w:p>
    <w:p w:rsidR="00A3748B" w:rsidRDefault="00A3748B" w:rsidP="00087F11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i/>
          <w:iCs/>
          <w:color w:val="232321"/>
          <w:sz w:val="20"/>
          <w:szCs w:val="20"/>
        </w:rPr>
      </w:pPr>
    </w:p>
    <w:p w:rsidR="00A3748B" w:rsidRDefault="00A3748B" w:rsidP="00087F11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i/>
          <w:iCs/>
          <w:color w:val="232321"/>
          <w:sz w:val="20"/>
          <w:szCs w:val="20"/>
        </w:rPr>
      </w:pPr>
    </w:p>
    <w:p w:rsidR="00A3748B" w:rsidRDefault="00A3748B" w:rsidP="00087F11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i/>
          <w:iCs/>
          <w:color w:val="232321"/>
          <w:sz w:val="20"/>
          <w:szCs w:val="20"/>
        </w:rPr>
      </w:pPr>
    </w:p>
    <w:p w:rsidR="00CC3FFA" w:rsidRPr="00196F8F" w:rsidRDefault="00196F8F" w:rsidP="00087F11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0"/>
          <w:szCs w:val="20"/>
        </w:rPr>
      </w:pPr>
      <w:r>
        <w:rPr>
          <w:rFonts w:asciiTheme="majorBidi" w:hAnsiTheme="majorBidi" w:cstheme="majorBidi"/>
          <w:noProof/>
          <w:color w:val="232321"/>
          <w:lang w:eastAsia="fr-FR"/>
        </w:rPr>
        <w:drawing>
          <wp:anchor distT="0" distB="0" distL="114300" distR="114300" simplePos="0" relativeHeight="251660288" behindDoc="0" locked="0" layoutInCell="1" allowOverlap="1" wp14:anchorId="255F6854" wp14:editId="58321BE1">
            <wp:simplePos x="0" y="0"/>
            <wp:positionH relativeFrom="column">
              <wp:posOffset>2585720</wp:posOffset>
            </wp:positionH>
            <wp:positionV relativeFrom="paragraph">
              <wp:posOffset>3175</wp:posOffset>
            </wp:positionV>
            <wp:extent cx="3239770" cy="4034155"/>
            <wp:effectExtent l="0" t="0" r="0" b="444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FFA" w:rsidRPr="00196F8F">
        <w:rPr>
          <w:rFonts w:asciiTheme="majorBidi" w:hAnsiTheme="majorBidi" w:cstheme="majorBidi"/>
          <w:i/>
          <w:iCs/>
          <w:color w:val="232321"/>
          <w:sz w:val="20"/>
          <w:szCs w:val="20"/>
        </w:rPr>
        <w:t xml:space="preserve">Le Liban </w:t>
      </w:r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 xml:space="preserve">est un anticlinal coffré, à </w:t>
      </w:r>
      <w:proofErr w:type="spellStart"/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>coeur</w:t>
      </w:r>
      <w:proofErr w:type="spellEnd"/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 xml:space="preserve"> jurassique, dont le soulèvement n’a pas été suffisant pour faire apparaître le socle. L’anticlinal est limité à l’E par la faille décrochante sénestre de </w:t>
      </w:r>
      <w:proofErr w:type="spellStart"/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>Yammouna</w:t>
      </w:r>
      <w:proofErr w:type="spellEnd"/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 xml:space="preserve"> (= </w:t>
      </w:r>
      <w:proofErr w:type="spellStart"/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>Yamuneh</w:t>
      </w:r>
      <w:proofErr w:type="spellEnd"/>
      <w:r w:rsidR="00CC3FFA" w:rsidRPr="00196F8F">
        <w:rPr>
          <w:rFonts w:asciiTheme="majorBidi" w:hAnsiTheme="majorBidi" w:cstheme="majorBidi"/>
          <w:color w:val="232321"/>
          <w:sz w:val="20"/>
          <w:szCs w:val="20"/>
        </w:rPr>
        <w:t>) qui est l’accident majeur du système et le prolongement de celle du Jourdain. Les nombreuses petites failles du versant W sont des accidents tardifs, postérieurs à l’individualisation du massif.</w:t>
      </w:r>
    </w:p>
    <w:p w:rsidR="00CC3FFA" w:rsidRPr="00196F8F" w:rsidRDefault="00CC3FFA" w:rsidP="00196F8F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0"/>
          <w:szCs w:val="20"/>
        </w:rPr>
      </w:pPr>
      <w:r w:rsidRPr="00196F8F">
        <w:rPr>
          <w:rFonts w:asciiTheme="majorBidi" w:hAnsiTheme="majorBidi" w:cstheme="majorBidi"/>
          <w:color w:val="232321"/>
          <w:sz w:val="20"/>
          <w:szCs w:val="20"/>
        </w:rPr>
        <w:t>Au-delà du synclinal effondré de la Bekaa, vient l’anticlinal de l’</w:t>
      </w:r>
      <w:r w:rsidRPr="00196F8F">
        <w:rPr>
          <w:rFonts w:asciiTheme="majorBidi" w:hAnsiTheme="majorBidi" w:cstheme="majorBidi"/>
          <w:i/>
          <w:iCs/>
          <w:color w:val="232321"/>
          <w:sz w:val="20"/>
          <w:szCs w:val="20"/>
        </w:rPr>
        <w:t>Anti-Liban</w:t>
      </w:r>
      <w:r w:rsidRPr="00196F8F">
        <w:rPr>
          <w:rFonts w:asciiTheme="majorBidi" w:hAnsiTheme="majorBidi" w:cstheme="majorBidi"/>
          <w:color w:val="232321"/>
          <w:sz w:val="20"/>
          <w:szCs w:val="20"/>
        </w:rPr>
        <w:t xml:space="preserve">, également à cœur jurassique (Mt Hermon), coupé de grandes failles obliques. Au NE de Damas, enfin, la figure montre les premiers anticlinaux des </w:t>
      </w:r>
      <w:proofErr w:type="spellStart"/>
      <w:r w:rsidRPr="00196F8F">
        <w:rPr>
          <w:rFonts w:asciiTheme="majorBidi" w:hAnsiTheme="majorBidi" w:cstheme="majorBidi"/>
          <w:i/>
          <w:iCs/>
          <w:color w:val="232321"/>
          <w:sz w:val="20"/>
          <w:szCs w:val="20"/>
        </w:rPr>
        <w:t>Palmyrides</w:t>
      </w:r>
      <w:proofErr w:type="spellEnd"/>
      <w:r w:rsidRPr="00196F8F">
        <w:rPr>
          <w:rFonts w:asciiTheme="majorBidi" w:hAnsiTheme="majorBidi" w:cstheme="majorBidi"/>
          <w:i/>
          <w:iCs/>
          <w:color w:val="232321"/>
          <w:sz w:val="20"/>
          <w:szCs w:val="20"/>
        </w:rPr>
        <w:t xml:space="preserve"> </w:t>
      </w:r>
      <w:r w:rsidRPr="00196F8F">
        <w:rPr>
          <w:rFonts w:asciiTheme="majorBidi" w:hAnsiTheme="majorBidi" w:cstheme="majorBidi"/>
          <w:color w:val="232321"/>
          <w:sz w:val="20"/>
          <w:szCs w:val="20"/>
        </w:rPr>
        <w:t>où la superposition de deux phases tectoniques apparaît clairement.</w:t>
      </w:r>
    </w:p>
    <w:p w:rsidR="00CC3FFA" w:rsidRPr="00196F8F" w:rsidRDefault="00CC3FFA" w:rsidP="00196F8F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0"/>
          <w:szCs w:val="20"/>
        </w:rPr>
      </w:pPr>
      <w:r w:rsidRPr="00196F8F">
        <w:rPr>
          <w:rFonts w:asciiTheme="majorBidi" w:hAnsiTheme="majorBidi" w:cstheme="majorBidi"/>
          <w:color w:val="232321"/>
          <w:sz w:val="20"/>
          <w:szCs w:val="20"/>
        </w:rPr>
        <w:t xml:space="preserve">1. Volcanisme récent, 2. Crétacé supérieur-Eocène, 3. Crétacé inférieur, 4. Basaltes crétacé inférieur, 5. Jurassique. Abréviations de la </w:t>
      </w:r>
      <w:r w:rsidRPr="00196F8F">
        <w:rPr>
          <w:rFonts w:asciiTheme="majorBidi" w:hAnsiTheme="majorBidi" w:cstheme="majorBidi"/>
          <w:color w:val="232321"/>
          <w:sz w:val="20"/>
          <w:szCs w:val="20"/>
        </w:rPr>
        <w:lastRenderedPageBreak/>
        <w:t>coupe : e. Éocène, Cs. Crétacé supérieur, Ci. Crétacé inférieur, J. Jurassique</w:t>
      </w:r>
      <w:r w:rsidRPr="00196F8F">
        <w:rPr>
          <w:rFonts w:ascii="Frutiger-Roman" w:hAnsi="Frutiger-Roman" w:cs="Frutiger-Roman"/>
          <w:color w:val="232321"/>
          <w:sz w:val="20"/>
          <w:szCs w:val="20"/>
        </w:rPr>
        <w:t>.</w:t>
      </w:r>
    </w:p>
    <w:p w:rsidR="00CC3FFA" w:rsidRDefault="00CC3FFA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>
        <w:rPr>
          <w:rFonts w:asciiTheme="majorBidi" w:hAnsiTheme="majorBidi" w:cstheme="majorBidi"/>
          <w:color w:val="232321"/>
        </w:rPr>
        <w:t xml:space="preserve">   </w:t>
      </w:r>
      <w:r w:rsidR="00196F8F">
        <w:rPr>
          <w:rFonts w:asciiTheme="majorBidi" w:hAnsiTheme="majorBidi" w:cstheme="majorBidi"/>
          <w:color w:val="232321"/>
        </w:rPr>
        <w:t xml:space="preserve"> </w:t>
      </w:r>
    </w:p>
    <w:p w:rsidR="00196F8F" w:rsidRDefault="00196F8F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noProof/>
          <w:color w:val="232321"/>
          <w:sz w:val="20"/>
          <w:szCs w:val="20"/>
          <w:lang w:eastAsia="fr-FR"/>
        </w:rPr>
      </w:pPr>
    </w:p>
    <w:p w:rsidR="00A3748B" w:rsidRDefault="00A3748B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noProof/>
          <w:color w:val="232321"/>
          <w:sz w:val="20"/>
          <w:szCs w:val="20"/>
          <w:lang w:eastAsia="fr-FR"/>
        </w:rPr>
      </w:pPr>
    </w:p>
    <w:p w:rsidR="00A3748B" w:rsidRDefault="00A3748B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noProof/>
          <w:color w:val="232321"/>
          <w:sz w:val="20"/>
          <w:szCs w:val="20"/>
          <w:lang w:eastAsia="fr-FR"/>
        </w:rPr>
      </w:pPr>
    </w:p>
    <w:p w:rsidR="00A3748B" w:rsidRDefault="00A3748B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noProof/>
          <w:color w:val="232321"/>
          <w:sz w:val="20"/>
          <w:szCs w:val="20"/>
          <w:lang w:eastAsia="fr-FR"/>
        </w:rPr>
      </w:pPr>
    </w:p>
    <w:p w:rsidR="00A3748B" w:rsidRDefault="00A3748B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noProof/>
          <w:color w:val="232321"/>
          <w:sz w:val="20"/>
          <w:szCs w:val="20"/>
          <w:lang w:eastAsia="fr-FR"/>
        </w:rPr>
      </w:pPr>
    </w:p>
    <w:p w:rsidR="00A3748B" w:rsidRDefault="00A3748B" w:rsidP="00196F8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noProof/>
          <w:color w:val="232321"/>
          <w:sz w:val="20"/>
          <w:szCs w:val="20"/>
          <w:lang w:eastAsia="fr-FR"/>
        </w:rPr>
      </w:pPr>
    </w:p>
    <w:p w:rsidR="00A3748B" w:rsidRDefault="00A3748B" w:rsidP="00A3748B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</w:p>
    <w:p w:rsidR="007E2E1F" w:rsidRDefault="007E2E1F" w:rsidP="007E2E1F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</w:p>
    <w:p w:rsidR="00A24296" w:rsidRDefault="007E2E1F" w:rsidP="00A24296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  <w:rtl/>
          <w:lang w:bidi="ar-DZ"/>
        </w:rPr>
      </w:pPr>
      <w:r w:rsidRPr="007E2E1F"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  <w:t>d) Le Haut Atlas marocain</w:t>
      </w:r>
    </w:p>
    <w:p w:rsidR="007E2E1F" w:rsidRPr="00A24296" w:rsidRDefault="00A24296" w:rsidP="00712DF2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i/>
          <w:iCs/>
          <w:color w:val="232321"/>
          <w:sz w:val="24"/>
          <w:szCs w:val="24"/>
        </w:rPr>
      </w:pPr>
      <w:r>
        <w:rPr>
          <w:rFonts w:asciiTheme="majorBidi" w:hAnsiTheme="majorBidi" w:cstheme="majorBidi"/>
          <w:color w:val="232321"/>
        </w:rPr>
        <w:t>Avec le haut Atlas</w:t>
      </w:r>
      <w:r w:rsidR="007E2E1F" w:rsidRPr="007E2E1F">
        <w:rPr>
          <w:rFonts w:asciiTheme="majorBidi" w:hAnsiTheme="majorBidi" w:cstheme="majorBidi"/>
          <w:color w:val="232321"/>
        </w:rPr>
        <w:t xml:space="preserve"> on aborde des chaînes de socle un peu plus complexes où l’on va voir juxtaposées</w:t>
      </w:r>
      <w:r w:rsidR="007E2E1F">
        <w:rPr>
          <w:rFonts w:asciiTheme="majorBidi" w:hAnsiTheme="majorBidi" w:cstheme="majorBidi"/>
          <w:color w:val="232321"/>
        </w:rPr>
        <w:t xml:space="preserve"> </w:t>
      </w:r>
      <w:r w:rsidR="007E2E1F" w:rsidRPr="007E2E1F">
        <w:rPr>
          <w:rFonts w:asciiTheme="majorBidi" w:hAnsiTheme="majorBidi" w:cstheme="majorBidi"/>
          <w:color w:val="232321"/>
        </w:rPr>
        <w:t>des failles inverses à déversement opposé (donc un fort raccourcissement</w:t>
      </w:r>
      <w:r w:rsidR="007E2E1F">
        <w:rPr>
          <w:rFonts w:asciiTheme="majorBidi" w:hAnsiTheme="majorBidi" w:cstheme="majorBidi"/>
          <w:color w:val="232321"/>
        </w:rPr>
        <w:t xml:space="preserve"> </w:t>
      </w:r>
      <w:proofErr w:type="spellStart"/>
      <w:r w:rsidR="007E2E1F" w:rsidRPr="007E2E1F">
        <w:rPr>
          <w:rFonts w:asciiTheme="majorBidi" w:hAnsiTheme="majorBidi" w:cstheme="majorBidi"/>
          <w:color w:val="232321"/>
        </w:rPr>
        <w:t>crustal</w:t>
      </w:r>
      <w:proofErr w:type="spellEnd"/>
      <w:r w:rsidR="007E2E1F" w:rsidRPr="007E2E1F">
        <w:rPr>
          <w:rFonts w:asciiTheme="majorBidi" w:hAnsiTheme="majorBidi" w:cstheme="majorBidi"/>
          <w:color w:val="232321"/>
        </w:rPr>
        <w:t>) et des structures anciennes conditionnant le développement et l’orientation</w:t>
      </w:r>
      <w:r w:rsidR="007E2E1F">
        <w:rPr>
          <w:rFonts w:asciiTheme="majorBidi" w:hAnsiTheme="majorBidi" w:cstheme="majorBidi"/>
          <w:color w:val="232321"/>
        </w:rPr>
        <w:t xml:space="preserve"> </w:t>
      </w:r>
      <w:r w:rsidR="007E2E1F" w:rsidRPr="007E2E1F">
        <w:rPr>
          <w:rFonts w:asciiTheme="majorBidi" w:hAnsiTheme="majorBidi" w:cstheme="majorBidi"/>
          <w:color w:val="232321"/>
        </w:rPr>
        <w:t>de la chaîne.</w:t>
      </w:r>
    </w:p>
    <w:p w:rsidR="007E2E1F" w:rsidRPr="007E2E1F" w:rsidRDefault="007E2E1F" w:rsidP="00712DF2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>
        <w:rPr>
          <w:rFonts w:asciiTheme="majorBidi" w:hAnsiTheme="majorBidi" w:cstheme="majorBidi"/>
          <w:color w:val="232321"/>
        </w:rPr>
        <w:t>Le Haut Atlas</w:t>
      </w:r>
      <w:r w:rsidRPr="007E2E1F">
        <w:rPr>
          <w:rFonts w:asciiTheme="majorBidi" w:hAnsiTheme="majorBidi" w:cstheme="majorBidi"/>
          <w:color w:val="232321"/>
        </w:rPr>
        <w:t>, long</w:t>
      </w:r>
      <w:r w:rsidR="00A24296">
        <w:rPr>
          <w:rFonts w:asciiTheme="majorBidi" w:hAnsiTheme="majorBidi" w:cstheme="majorBidi"/>
          <w:color w:val="232321"/>
        </w:rPr>
        <w:t>ue</w:t>
      </w:r>
      <w:r w:rsidRPr="007E2E1F">
        <w:rPr>
          <w:rFonts w:asciiTheme="majorBidi" w:hAnsiTheme="majorBidi" w:cstheme="majorBidi"/>
          <w:color w:val="232321"/>
        </w:rPr>
        <w:t xml:space="preserve"> de 600 km, large de 50 à 150, culmine au Djebel </w:t>
      </w:r>
      <w:proofErr w:type="spellStart"/>
      <w:r w:rsidRPr="007E2E1F">
        <w:rPr>
          <w:rFonts w:asciiTheme="majorBidi" w:hAnsiTheme="majorBidi" w:cstheme="majorBidi"/>
          <w:color w:val="232321"/>
        </w:rPr>
        <w:t>Toubkhal</w:t>
      </w:r>
      <w:proofErr w:type="spellEnd"/>
      <w:r>
        <w:rPr>
          <w:rFonts w:asciiTheme="majorBidi" w:hAnsiTheme="majorBidi" w:cstheme="majorBidi"/>
          <w:color w:val="232321"/>
        </w:rPr>
        <w:t xml:space="preserve"> </w:t>
      </w:r>
      <w:r w:rsidRPr="007E2E1F">
        <w:rPr>
          <w:rFonts w:asciiTheme="majorBidi" w:hAnsiTheme="majorBidi" w:cstheme="majorBidi"/>
          <w:color w:val="232321"/>
        </w:rPr>
        <w:t>(4 165 m) et comprend, d’W en E, le Haut-Atlas maritime, l’Atlas de Marrakech et</w:t>
      </w:r>
      <w:r>
        <w:rPr>
          <w:rFonts w:asciiTheme="majorBidi" w:hAnsiTheme="majorBidi" w:cstheme="majorBidi"/>
          <w:color w:val="232321"/>
        </w:rPr>
        <w:t xml:space="preserve"> </w:t>
      </w:r>
      <w:r w:rsidRPr="007E2E1F">
        <w:rPr>
          <w:rFonts w:asciiTheme="majorBidi" w:hAnsiTheme="majorBidi" w:cstheme="majorBidi"/>
          <w:color w:val="232321"/>
        </w:rPr>
        <w:t xml:space="preserve">le Haut Atlas oriental </w:t>
      </w:r>
      <w:r w:rsidRPr="007E2E1F">
        <w:rPr>
          <w:rFonts w:asciiTheme="majorBidi" w:hAnsiTheme="majorBidi" w:cstheme="majorBidi"/>
          <w:i/>
          <w:iCs/>
          <w:color w:val="232321"/>
        </w:rPr>
        <w:t>(fig. 7.7)</w:t>
      </w:r>
      <w:r w:rsidRPr="007E2E1F">
        <w:rPr>
          <w:rFonts w:asciiTheme="majorBidi" w:hAnsiTheme="majorBidi" w:cstheme="majorBidi"/>
          <w:color w:val="232321"/>
        </w:rPr>
        <w:t>.</w:t>
      </w:r>
      <w:r>
        <w:rPr>
          <w:rFonts w:asciiTheme="majorBidi" w:hAnsiTheme="majorBidi" w:cstheme="majorBidi"/>
          <w:color w:val="232321"/>
        </w:rPr>
        <w:t xml:space="preserve">                                                                        </w:t>
      </w:r>
    </w:p>
    <w:p w:rsidR="007E2E1F" w:rsidRPr="007E2E1F" w:rsidRDefault="00CF2AAD" w:rsidP="00531FC7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 w:rsidRPr="00712DF2"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42F7ECCF" wp14:editId="3C44986B">
            <wp:simplePos x="0" y="0"/>
            <wp:positionH relativeFrom="column">
              <wp:posOffset>2715895</wp:posOffset>
            </wp:positionH>
            <wp:positionV relativeFrom="paragraph">
              <wp:posOffset>159385</wp:posOffset>
            </wp:positionV>
            <wp:extent cx="2981325" cy="3756025"/>
            <wp:effectExtent l="0" t="0" r="9525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E91" w:rsidRPr="00FD7E91" w:rsidRDefault="00FD7E91" w:rsidP="00F3602B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i/>
          <w:iCs/>
          <w:color w:val="232321"/>
        </w:rPr>
      </w:pPr>
      <w:r w:rsidRPr="00FD7E91">
        <w:rPr>
          <w:rFonts w:asciiTheme="majorBidi" w:hAnsiTheme="majorBidi" w:cstheme="majorBidi"/>
          <w:b/>
          <w:bCs/>
          <w:color w:val="232321"/>
        </w:rPr>
        <w:t xml:space="preserve">7.1.2 Cas complexe : les Pyrénées </w:t>
      </w:r>
    </w:p>
    <w:p w:rsidR="00FD7E91" w:rsidRPr="00FD7E91" w:rsidRDefault="00FD7E91" w:rsidP="00FD7E91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 w:rsidRPr="00FD7E91">
        <w:rPr>
          <w:rFonts w:asciiTheme="majorBidi" w:hAnsiTheme="majorBidi" w:cstheme="majorBidi"/>
          <w:color w:val="232321"/>
        </w:rPr>
        <w:t>C’est une chaîne longue de 400 km environ sur 50 à 100</w:t>
      </w:r>
      <w:r>
        <w:rPr>
          <w:rFonts w:asciiTheme="majorBidi" w:hAnsiTheme="majorBidi" w:cstheme="majorBidi"/>
          <w:color w:val="232321"/>
        </w:rPr>
        <w:t xml:space="preserve"> km</w:t>
      </w:r>
      <w:r w:rsidRPr="00FD7E91">
        <w:rPr>
          <w:rFonts w:asciiTheme="majorBidi" w:hAnsiTheme="majorBidi" w:cstheme="majorBidi"/>
          <w:color w:val="232321"/>
        </w:rPr>
        <w:t xml:space="preserve"> de large, culminant à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>3 400 m, et faisant limite entre le craton ibérique et le craton européen.</w:t>
      </w:r>
    </w:p>
    <w:p w:rsidR="004A6B37" w:rsidRDefault="00FD7E91" w:rsidP="004A6B37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</w:rPr>
      </w:pPr>
      <w:r w:rsidRPr="00FD7E91">
        <w:rPr>
          <w:rFonts w:asciiTheme="majorBidi" w:hAnsiTheme="majorBidi" w:cstheme="majorBidi"/>
          <w:color w:val="232321"/>
        </w:rPr>
        <w:t>À première vue, elle ressemble beaucoup au Haut-Atlas, avec une « zone axiale »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>où affleure largement le socle ancien affecté de failles inverses à double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 xml:space="preserve">déversement : au N, il s’agit de la </w:t>
      </w:r>
      <w:r w:rsidRPr="00FD7E91">
        <w:rPr>
          <w:rFonts w:asciiTheme="majorBidi" w:hAnsiTheme="majorBidi" w:cstheme="majorBidi"/>
          <w:i/>
          <w:iCs/>
          <w:color w:val="232321"/>
        </w:rPr>
        <w:t>faille nord-pyrénéenne</w:t>
      </w:r>
      <w:r w:rsidRPr="00FD7E91">
        <w:rPr>
          <w:rFonts w:asciiTheme="majorBidi" w:hAnsiTheme="majorBidi" w:cstheme="majorBidi"/>
          <w:color w:val="232321"/>
        </w:rPr>
        <w:t>, ancien accident hercynien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>remis en mouvement; au S, de plusieurs accidents beaucoup plus plats donnant au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>versant sud de la zone axiale une structure en écailles tangentielles, au moins pour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 xml:space="preserve">ce qui est de la croûte superficielle </w:t>
      </w:r>
      <w:r w:rsidRPr="00FD7E91">
        <w:rPr>
          <w:rFonts w:asciiTheme="majorBidi" w:hAnsiTheme="majorBidi" w:cstheme="majorBidi"/>
          <w:i/>
          <w:iCs/>
          <w:color w:val="232321"/>
        </w:rPr>
        <w:t>(fig. 7.9)</w:t>
      </w:r>
      <w:r w:rsidRPr="00FD7E91">
        <w:rPr>
          <w:rFonts w:asciiTheme="majorBidi" w:hAnsiTheme="majorBidi" w:cstheme="majorBidi"/>
          <w:color w:val="232321"/>
        </w:rPr>
        <w:t>. Tous ces accidents, ainsi que la zone axiale elle-même, s’ennoient vers l’W sous</w:t>
      </w:r>
      <w:r>
        <w:rPr>
          <w:rFonts w:asciiTheme="majorBidi" w:hAnsiTheme="majorBidi" w:cstheme="majorBidi"/>
          <w:color w:val="232321"/>
        </w:rPr>
        <w:t xml:space="preserve"> </w:t>
      </w:r>
      <w:r w:rsidRPr="00FD7E91">
        <w:rPr>
          <w:rFonts w:asciiTheme="majorBidi" w:hAnsiTheme="majorBidi" w:cstheme="majorBidi"/>
          <w:color w:val="232321"/>
        </w:rPr>
        <w:t>leur couverture mésozoïque à partir du méridien de Pau.</w:t>
      </w:r>
    </w:p>
    <w:p w:rsidR="005A7FB9" w:rsidRDefault="004A6B37" w:rsidP="004A6B37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6432" behindDoc="0" locked="0" layoutInCell="1" allowOverlap="1" wp14:anchorId="14100FE9" wp14:editId="473F1BD6">
            <wp:simplePos x="0" y="0"/>
            <wp:positionH relativeFrom="column">
              <wp:posOffset>3742055</wp:posOffset>
            </wp:positionH>
            <wp:positionV relativeFrom="paragraph">
              <wp:posOffset>699770</wp:posOffset>
            </wp:positionV>
            <wp:extent cx="2381885" cy="1318260"/>
            <wp:effectExtent l="0" t="0" r="0" b="0"/>
            <wp:wrapSquare wrapText="bothSides"/>
            <wp:docPr id="11" name="Image 11" descr="Carte de la mer Cantabriq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rte de la mer Cantabriqu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E91"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drawing>
          <wp:inline distT="0" distB="0" distL="0" distR="0" wp14:anchorId="5B1BB170" wp14:editId="50730794">
            <wp:extent cx="3460750" cy="2798459"/>
            <wp:effectExtent l="0" t="0" r="6350" b="19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19" cy="280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FB9">
        <w:rPr>
          <w:rFonts w:asciiTheme="majorBidi" w:hAnsiTheme="majorBidi" w:cstheme="majorBidi"/>
          <w:color w:val="232321"/>
          <w:sz w:val="24"/>
          <w:szCs w:val="24"/>
        </w:rPr>
        <w:t xml:space="preserve">                                                                                        </w:t>
      </w:r>
    </w:p>
    <w:p w:rsidR="005A7FB9" w:rsidRDefault="005A7FB9" w:rsidP="005A7FB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drawing>
          <wp:inline distT="0" distB="0" distL="0" distR="0">
            <wp:extent cx="3387284" cy="4718050"/>
            <wp:effectExtent l="0" t="0" r="3810" b="635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369" cy="471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2B" w:rsidRDefault="00F3602B" w:rsidP="004A6B37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</w:p>
    <w:p w:rsidR="004A6B37" w:rsidRPr="004A6B37" w:rsidRDefault="004A6B37" w:rsidP="004A6B37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4A6B37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2.2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C</w:t>
      </w:r>
      <w:r w:rsidRPr="004A6B37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haînes résultant d’un clivage </w:t>
      </w:r>
      <w:proofErr w:type="spellStart"/>
      <w:r w:rsidRPr="004A6B37">
        <w:rPr>
          <w:rFonts w:asciiTheme="majorBidi" w:hAnsiTheme="majorBidi" w:cstheme="majorBidi"/>
          <w:b/>
          <w:bCs/>
          <w:color w:val="232321"/>
          <w:sz w:val="24"/>
          <w:szCs w:val="24"/>
        </w:rPr>
        <w:t>intracrustal</w:t>
      </w:r>
      <w:proofErr w:type="spellEnd"/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i/>
          <w:iCs/>
          <w:color w:val="232321"/>
        </w:rPr>
      </w:pPr>
      <w:r w:rsidRPr="00F3602B">
        <w:rPr>
          <w:rFonts w:asciiTheme="majorBidi" w:hAnsiTheme="majorBidi" w:cstheme="majorBidi"/>
          <w:b/>
          <w:bCs/>
          <w:color w:val="232321"/>
        </w:rPr>
        <w:t xml:space="preserve">2.2.1 Les chaînes catalanes et ibériques </w:t>
      </w:r>
    </w:p>
    <w:p w:rsidR="00F3602B" w:rsidRDefault="00F3602B" w:rsidP="00F3602B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lastRenderedPageBreak/>
        <w:t>Entre le bassin de l’Èbre et les cordillères bétiques, existe une série de chaînes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faiblement élevées (2 400 m maximum), d’orientation NE-SW (chaîne catalane) ou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NW-SE (chaîne ibérique). La couverture mésozoïque y atteint une épaisseur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2 000 m et débute par un Trias à évaporites qui représente évidemment un niveau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décollement quasi général. Cette couverture dessine des plis à grands rayons de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courbure limités par des failles chevauchantes et des décrochements, tous ces accidents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pouvant impliquer du matériel hercynien.</w:t>
      </w:r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i/>
          <w:iCs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2.2.2 Les Montagnes Rocheuses canadiennes </w:t>
      </w:r>
    </w:p>
    <w:p w:rsidR="00F3602B" w:rsidRDefault="00F3602B" w:rsidP="00F3602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>Cette chaîne de couverture apparaît, elle aussi, comme une annexe d’une grande chaîne,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les Cordillères pacifiques nord-américaines.</w:t>
      </w:r>
    </w:p>
    <w:p w:rsidR="00F3602B" w:rsidRDefault="00F3602B" w:rsidP="00F3602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color w:val="232321"/>
          <w:sz w:val="24"/>
          <w:szCs w:val="24"/>
        </w:rPr>
        <w:t xml:space="preserve">  </w:t>
      </w: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drawing>
          <wp:inline distT="0" distB="0" distL="0" distR="0">
            <wp:extent cx="3225800" cy="4049408"/>
            <wp:effectExtent l="0" t="0" r="0" b="825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04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2B" w:rsidRDefault="00F3602B" w:rsidP="00F3602B">
      <w:pPr>
        <w:autoSpaceDE w:val="0"/>
        <w:autoSpaceDN w:val="0"/>
        <w:adjustRightInd w:val="0"/>
        <w:spacing w:after="0" w:line="240" w:lineRule="auto"/>
        <w:jc w:val="both"/>
        <w:rPr>
          <w:rFonts w:ascii="Frutiger-UltraBlack" w:hAnsi="Frutiger-UltraBlack" w:cs="Frutiger-UltraBlack"/>
          <w:b/>
          <w:bCs/>
          <w:color w:val="232321"/>
          <w:sz w:val="36"/>
          <w:szCs w:val="36"/>
        </w:rPr>
      </w:pPr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b/>
          <w:bCs/>
          <w:color w:val="232321"/>
          <w:sz w:val="24"/>
          <w:szCs w:val="24"/>
        </w:rPr>
        <w:t>3. Les chaines de subduction</w:t>
      </w:r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>Elles apparaissent à la verticale d’une zone de subduction lorsqu’il y règne un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régime compressif.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 xml:space="preserve"> Dans ce cas, on constate en général que la zone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de subduction sous-jacente à la chaîne offre un pendage très faible.</w:t>
      </w:r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>Le pendage de la zone de subduction est sous la dépendance de plusieurs facteurs.</w:t>
      </w:r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>Les principaux sont :</w:t>
      </w:r>
    </w:p>
    <w:p w:rsidR="00F3602B" w:rsidRPr="00F3602B" w:rsidRDefault="00F3602B" w:rsidP="00F3602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 xml:space="preserve">– L’épaisseur et la densité de la lithosphère </w:t>
      </w:r>
      <w:proofErr w:type="spellStart"/>
      <w:r w:rsidRPr="00F3602B">
        <w:rPr>
          <w:rFonts w:asciiTheme="majorBidi" w:hAnsiTheme="majorBidi" w:cstheme="majorBidi"/>
          <w:color w:val="232321"/>
          <w:sz w:val="24"/>
          <w:szCs w:val="24"/>
        </w:rPr>
        <w:t>subdu</w:t>
      </w:r>
      <w:r>
        <w:rPr>
          <w:rFonts w:asciiTheme="majorBidi" w:hAnsiTheme="majorBidi" w:cstheme="majorBidi"/>
          <w:color w:val="232321"/>
          <w:sz w:val="24"/>
          <w:szCs w:val="24"/>
        </w:rPr>
        <w:t>ctée</w:t>
      </w:r>
      <w:proofErr w:type="spellEnd"/>
      <w:r w:rsidRPr="00F3602B">
        <w:rPr>
          <w:rFonts w:asciiTheme="majorBidi" w:hAnsiTheme="majorBidi" w:cstheme="majorBidi"/>
          <w:color w:val="232321"/>
          <w:sz w:val="24"/>
          <w:szCs w:val="24"/>
        </w:rPr>
        <w:t>, donc son âge (les lithosphères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 xml:space="preserve">anciennes sont plus épaisses, plus froides et plus denses) 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ce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qui induit donc une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force de traction plus ou moins importante.</w:t>
      </w:r>
    </w:p>
    <w:p w:rsidR="00F3602B" w:rsidRPr="00F3602B" w:rsidRDefault="00F3602B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>– Le déplacement global horizontal de l’asthénosphère vers l’E, qui supporte les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plaques à plongement E (faible pendage) et s’oppose au plongement vers l’W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(fort pendage).</w:t>
      </w:r>
    </w:p>
    <w:p w:rsidR="00F3602B" w:rsidRPr="00F3602B" w:rsidRDefault="00F3602B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lastRenderedPageBreak/>
        <w:t>Secondairement, la convergence plus ou moins rapide des plaques en présence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(facteur lié à la tectonique globale) induit une force de poussée plus ou moins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grande. Enfin la présence de « flotteurs », comme la ride de Nazca, est susceptible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d’alléger la plaque qui les porte.</w:t>
      </w:r>
    </w:p>
    <w:p w:rsidR="00F3602B" w:rsidRDefault="00F3602B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3602B">
        <w:rPr>
          <w:rFonts w:asciiTheme="majorBidi" w:hAnsiTheme="majorBidi" w:cstheme="majorBidi"/>
          <w:color w:val="232321"/>
          <w:sz w:val="24"/>
          <w:szCs w:val="24"/>
        </w:rPr>
        <w:t>Suivant les interférences entre ces différents facteurs, on observe donc des subductions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à forte pente (supérieure à 30°), donnant, à la surface de la plaque chevauchante,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un régime et des structures de distension avec un magmatisme abondant, ou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des subductions à faible pente (1 à 10°), et en surface de la plaque supérieure, un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régime et des structures en compression avec absence de magmatisme. L’explication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doit être recherchée dans le fort « couplage » des deux lithosphères si la zone de subduction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qui les sépare est plate, ainsi que dans l’absence de fenêtre asthénosphérique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3602B">
        <w:rPr>
          <w:rFonts w:asciiTheme="majorBidi" w:hAnsiTheme="majorBidi" w:cstheme="majorBidi"/>
          <w:color w:val="232321"/>
          <w:sz w:val="24"/>
          <w:szCs w:val="24"/>
        </w:rPr>
        <w:t>d</w:t>
      </w:r>
      <w:r w:rsidR="00F44B1E">
        <w:rPr>
          <w:rFonts w:asciiTheme="majorBidi" w:hAnsiTheme="majorBidi" w:cstheme="majorBidi"/>
          <w:color w:val="232321"/>
          <w:sz w:val="24"/>
          <w:szCs w:val="24"/>
        </w:rPr>
        <w:t>ans la plaque supérieure.</w:t>
      </w:r>
    </w:p>
    <w:p w:rsidR="00F44B1E" w:rsidRDefault="00F44B1E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lastRenderedPageBreak/>
        <w:drawing>
          <wp:inline distT="0" distB="0" distL="0" distR="0">
            <wp:extent cx="5760720" cy="9110828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1E" w:rsidRDefault="00F44B1E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lastRenderedPageBreak/>
        <w:drawing>
          <wp:inline distT="0" distB="0" distL="0" distR="0">
            <wp:extent cx="5760720" cy="7246718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9" w:rsidRDefault="002B3439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color w:val="232321"/>
          <w:sz w:val="24"/>
          <w:szCs w:val="24"/>
        </w:rPr>
        <w:t xml:space="preserve">Comme exemple on a </w:t>
      </w:r>
    </w:p>
    <w:p w:rsidR="002B3439" w:rsidRPr="002B3439" w:rsidRDefault="002B3439" w:rsidP="002B3439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L</w:t>
      </w:r>
      <w:r w:rsidRPr="002B3439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es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A</w:t>
      </w:r>
      <w:r w:rsidRPr="002B3439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ndes du </w:t>
      </w:r>
      <w:proofErr w:type="spellStart"/>
      <w:r w:rsidRPr="002B3439">
        <w:rPr>
          <w:rFonts w:asciiTheme="majorBidi" w:hAnsiTheme="majorBidi" w:cstheme="majorBidi"/>
          <w:b/>
          <w:bCs/>
          <w:color w:val="232321"/>
          <w:sz w:val="24"/>
          <w:szCs w:val="24"/>
        </w:rPr>
        <w:t>pérou</w:t>
      </w:r>
      <w:proofErr w:type="spellEnd"/>
    </w:p>
    <w:p w:rsidR="002B3439" w:rsidRPr="002B3439" w:rsidRDefault="002B3439" w:rsidP="002B34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2B3439">
        <w:rPr>
          <w:rFonts w:asciiTheme="majorBidi" w:hAnsiTheme="majorBidi" w:cstheme="majorBidi"/>
          <w:color w:val="232321"/>
          <w:sz w:val="24"/>
          <w:szCs w:val="24"/>
        </w:rPr>
        <w:t>À ce niveau, la plaque océanique Nazca s’enfonce sous l’Amérique du Sud suivant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 xml:space="preserve">un angle très faible, de l’ordre de 10 à 15° (« flat </w:t>
      </w:r>
      <w:proofErr w:type="spellStart"/>
      <w:r w:rsidRPr="002B3439">
        <w:rPr>
          <w:rFonts w:asciiTheme="majorBidi" w:hAnsiTheme="majorBidi" w:cstheme="majorBidi"/>
          <w:color w:val="232321"/>
          <w:sz w:val="24"/>
          <w:szCs w:val="24"/>
        </w:rPr>
        <w:t>slab</w:t>
      </w:r>
      <w:proofErr w:type="spellEnd"/>
      <w:r w:rsidRPr="002B3439">
        <w:rPr>
          <w:rFonts w:asciiTheme="majorBidi" w:hAnsiTheme="majorBidi" w:cstheme="majorBidi"/>
          <w:color w:val="232321"/>
          <w:sz w:val="24"/>
          <w:szCs w:val="24"/>
        </w:rPr>
        <w:t xml:space="preserve"> » du Pérou, </w:t>
      </w:r>
      <w:r w:rsidRPr="002B3439">
        <w:rPr>
          <w:rFonts w:asciiTheme="majorBidi" w:hAnsiTheme="majorBidi" w:cstheme="majorBidi"/>
          <w:i/>
          <w:iCs/>
          <w:color w:val="232321"/>
          <w:sz w:val="24"/>
          <w:szCs w:val="24"/>
        </w:rPr>
        <w:t>fig. 8.2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), qui tend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même à s’annuler, les deux lithosphères restant collées.</w:t>
      </w:r>
    </w:p>
    <w:p w:rsidR="002B3439" w:rsidRPr="002B3439" w:rsidRDefault="002B3439" w:rsidP="002B34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2B3439">
        <w:rPr>
          <w:rFonts w:asciiTheme="majorBidi" w:hAnsiTheme="majorBidi" w:cstheme="majorBidi"/>
          <w:color w:val="232321"/>
          <w:sz w:val="24"/>
          <w:szCs w:val="24"/>
        </w:rPr>
        <w:t>Cette partie de la chaîne montre d’W en E, donc en partant de la fosse, les ensembles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morpho-structuraux suivants (</w:t>
      </w:r>
      <w:r w:rsidRPr="002B3439">
        <w:rPr>
          <w:rFonts w:asciiTheme="majorBidi" w:hAnsiTheme="majorBidi" w:cstheme="majorBidi"/>
          <w:i/>
          <w:iCs/>
          <w:color w:val="232321"/>
          <w:sz w:val="24"/>
          <w:szCs w:val="24"/>
        </w:rPr>
        <w:t>fig. 8.4, 8.5, 8.6, 8.7 coupe 1, 8.8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) :</w:t>
      </w:r>
    </w:p>
    <w:p w:rsidR="002B3439" w:rsidRDefault="00F72E1A" w:rsidP="00F72E1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lastRenderedPageBreak/>
        <w:t>1 .</w:t>
      </w:r>
      <w:r w:rsidR="002B3439" w:rsidRPr="00F72E1A">
        <w:rPr>
          <w:rFonts w:asciiTheme="majorBidi" w:hAnsiTheme="majorBidi" w:cstheme="majorBidi"/>
          <w:i/>
          <w:iCs/>
          <w:sz w:val="24"/>
          <w:szCs w:val="24"/>
        </w:rPr>
        <w:t xml:space="preserve">Un prisme d’accrétion </w:t>
      </w:r>
      <w:r w:rsidR="002B3439" w:rsidRPr="00F72E1A">
        <w:rPr>
          <w:rFonts w:asciiTheme="majorBidi" w:hAnsiTheme="majorBidi" w:cstheme="majorBidi"/>
          <w:sz w:val="24"/>
          <w:szCs w:val="24"/>
        </w:rPr>
        <w:t>très étroit, profondément immergé et constitué, et parfois recouvert, de coulées de solifluxion (</w:t>
      </w:r>
      <w:r w:rsidR="002B3439" w:rsidRPr="00F72E1A">
        <w:rPr>
          <w:rFonts w:asciiTheme="majorBidi" w:hAnsiTheme="majorBidi" w:cstheme="majorBidi"/>
          <w:i/>
          <w:iCs/>
          <w:sz w:val="24"/>
          <w:szCs w:val="24"/>
        </w:rPr>
        <w:t>fig. 8.4</w:t>
      </w:r>
      <w:r w:rsidR="002B3439" w:rsidRPr="00F72E1A">
        <w:rPr>
          <w:rFonts w:asciiTheme="majorBidi" w:hAnsiTheme="majorBidi" w:cstheme="majorBidi"/>
          <w:sz w:val="24"/>
          <w:szCs w:val="24"/>
        </w:rPr>
        <w:t>).</w:t>
      </w:r>
    </w:p>
    <w:p w:rsidR="00F72E1A" w:rsidRPr="00F72E1A" w:rsidRDefault="00F72E1A" w:rsidP="00F72E1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197281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9" w:rsidRPr="002B3439" w:rsidRDefault="002B3439" w:rsidP="002B3439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color w:val="232321"/>
          <w:sz w:val="24"/>
          <w:szCs w:val="24"/>
        </w:rPr>
      </w:pPr>
      <w:r w:rsidRPr="002B3439">
        <w:rPr>
          <w:rFonts w:asciiTheme="majorBidi" w:hAnsiTheme="majorBidi" w:cstheme="majorBidi"/>
          <w:color w:val="232321"/>
          <w:sz w:val="24"/>
          <w:szCs w:val="24"/>
        </w:rPr>
        <w:t xml:space="preserve">2. </w:t>
      </w:r>
      <w:r w:rsidRPr="002B3439">
        <w:rPr>
          <w:rFonts w:asciiTheme="majorBidi" w:hAnsiTheme="majorBidi" w:cstheme="majorBidi"/>
          <w:i/>
          <w:iCs/>
          <w:color w:val="232321"/>
          <w:sz w:val="24"/>
          <w:szCs w:val="24"/>
        </w:rPr>
        <w:t>Un talus et un plateau continental immergés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, à structure en blocs juxtaposés ; les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forages ont montré que ce domaine a été le siège d’une très importante subsidence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(près de 4 000 m en 35 Ma).</w:t>
      </w:r>
    </w:p>
    <w:p w:rsidR="002B3439" w:rsidRPr="002B3439" w:rsidRDefault="002B3439" w:rsidP="002B34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2B3439">
        <w:rPr>
          <w:rFonts w:asciiTheme="majorBidi" w:hAnsiTheme="majorBidi" w:cstheme="majorBidi"/>
          <w:color w:val="232321"/>
          <w:sz w:val="24"/>
          <w:szCs w:val="24"/>
        </w:rPr>
        <w:t xml:space="preserve">3. </w:t>
      </w:r>
      <w:r w:rsidRPr="002B3439">
        <w:rPr>
          <w:rFonts w:asciiTheme="majorBidi" w:hAnsiTheme="majorBidi" w:cstheme="majorBidi"/>
          <w:i/>
          <w:iCs/>
          <w:color w:val="232321"/>
          <w:sz w:val="24"/>
          <w:szCs w:val="24"/>
        </w:rPr>
        <w:t>La zone côtière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, où affleure le substratum précambrien et paléozoïque, recouvert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d’une mince série mésozoïque. Ce secteur a été une zone en relief relatif depuis le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Paléozoïque.</w:t>
      </w:r>
    </w:p>
    <w:p w:rsidR="002B3439" w:rsidRDefault="002B3439" w:rsidP="002B34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2B3439">
        <w:rPr>
          <w:rFonts w:asciiTheme="majorBidi" w:hAnsiTheme="majorBidi" w:cstheme="majorBidi"/>
          <w:color w:val="232321"/>
          <w:sz w:val="24"/>
          <w:szCs w:val="24"/>
        </w:rPr>
        <w:t xml:space="preserve">4. </w:t>
      </w:r>
      <w:r w:rsidRPr="002B3439">
        <w:rPr>
          <w:rFonts w:asciiTheme="majorBidi" w:hAnsiTheme="majorBidi" w:cstheme="majorBidi"/>
          <w:i/>
          <w:iCs/>
          <w:color w:val="232321"/>
          <w:sz w:val="24"/>
          <w:szCs w:val="24"/>
        </w:rPr>
        <w:t>La Cordillère occidentale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, arc magmatique actuellement inactif, et ceci depuis le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2B3439">
        <w:rPr>
          <w:rFonts w:asciiTheme="majorBidi" w:hAnsiTheme="majorBidi" w:cstheme="majorBidi"/>
          <w:color w:val="232321"/>
          <w:sz w:val="24"/>
          <w:szCs w:val="24"/>
        </w:rPr>
        <w:t>Paléogène, à l’exception de quelques émissions de tufs acides et de rares coulées</w:t>
      </w:r>
      <w:r w:rsidR="00F72E1A">
        <w:rPr>
          <w:rFonts w:asciiTheme="majorBidi" w:hAnsiTheme="majorBidi" w:cstheme="majorBidi"/>
          <w:color w:val="232321"/>
          <w:sz w:val="24"/>
          <w:szCs w:val="24"/>
        </w:rPr>
        <w:t xml:space="preserve"> Basaltiques.</w:t>
      </w:r>
    </w:p>
    <w:p w:rsidR="00F72E1A" w:rsidRDefault="00F72E1A" w:rsidP="00F72E1A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L</w:t>
      </w: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es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A</w:t>
      </w: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ndes de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B</w:t>
      </w: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olivie, du sud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P</w:t>
      </w: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érou et du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N</w:t>
      </w: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ord </w:t>
      </w:r>
      <w:r>
        <w:rPr>
          <w:rFonts w:asciiTheme="majorBidi" w:hAnsiTheme="majorBidi" w:cstheme="majorBidi"/>
          <w:b/>
          <w:bCs/>
          <w:color w:val="232321"/>
          <w:sz w:val="24"/>
          <w:szCs w:val="24"/>
        </w:rPr>
        <w:t>C</w:t>
      </w: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>hili</w:t>
      </w:r>
    </w:p>
    <w:p w:rsidR="00F72E1A" w:rsidRDefault="00F72E1A" w:rsidP="00F72E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>Les Andes du Chili Central et d’Argentine Centrale</w:t>
      </w:r>
    </w:p>
    <w:p w:rsidR="00F72E1A" w:rsidRDefault="00F72E1A" w:rsidP="00F72E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</w:p>
    <w:p w:rsidR="00F72E1A" w:rsidRDefault="00F72E1A" w:rsidP="00F72E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</w:p>
    <w:p w:rsidR="00F72E1A" w:rsidRDefault="00F72E1A" w:rsidP="00F72E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b/>
          <w:bCs/>
          <w:color w:val="232321"/>
          <w:sz w:val="24"/>
          <w:szCs w:val="24"/>
        </w:rPr>
      </w:pPr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>4 Les chaînes d’</w:t>
      </w:r>
      <w:proofErr w:type="spellStart"/>
      <w:r w:rsidRPr="00F72E1A">
        <w:rPr>
          <w:rFonts w:asciiTheme="majorBidi" w:hAnsiTheme="majorBidi" w:cstheme="majorBidi"/>
          <w:b/>
          <w:bCs/>
          <w:color w:val="232321"/>
          <w:sz w:val="24"/>
          <w:szCs w:val="24"/>
        </w:rPr>
        <w:t>obduction</w:t>
      </w:r>
      <w:proofErr w:type="spellEnd"/>
    </w:p>
    <w:p w:rsidR="00F72E1A" w:rsidRPr="00F72E1A" w:rsidRDefault="00F72E1A" w:rsidP="00F72E1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72E1A">
        <w:rPr>
          <w:rFonts w:asciiTheme="majorBidi" w:hAnsiTheme="majorBidi" w:cstheme="majorBidi"/>
          <w:color w:val="232321"/>
          <w:sz w:val="24"/>
          <w:szCs w:val="24"/>
        </w:rPr>
        <w:t>Dans le phénomène de subduction, la lithosphère océanique, dense, s’enfonce sous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 xml:space="preserve">une lithosphère moins dense, océanique dans le cas des arcs </w:t>
      </w:r>
      <w:proofErr w:type="spellStart"/>
      <w:r w:rsidRPr="00F72E1A">
        <w:rPr>
          <w:rFonts w:asciiTheme="majorBidi" w:hAnsiTheme="majorBidi" w:cstheme="majorBidi"/>
          <w:color w:val="232321"/>
          <w:sz w:val="24"/>
          <w:szCs w:val="24"/>
        </w:rPr>
        <w:t>intraocéaniques</w:t>
      </w:r>
      <w:proofErr w:type="spellEnd"/>
      <w:r w:rsidRPr="00F72E1A">
        <w:rPr>
          <w:rFonts w:asciiTheme="majorBidi" w:hAnsiTheme="majorBidi" w:cstheme="majorBidi"/>
          <w:color w:val="232321"/>
          <w:sz w:val="24"/>
          <w:szCs w:val="24"/>
        </w:rPr>
        <w:t>, ou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continentale dans les marges de type andin. Cependant, on observe souvent un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dispositif inverse, c’est-à-dire, d’épaisses lames d’ophiolites reposant à plat sur un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substratum continental et sa couverture sédimentaire. Pour décrire ce dispositif où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une portion de lithosphère océanique chevauche une bordure continentale, on a créé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le terme d’</w:t>
      </w:r>
      <w:proofErr w:type="spellStart"/>
      <w:r w:rsidRPr="00F72E1A">
        <w:rPr>
          <w:rFonts w:asciiTheme="majorBidi" w:hAnsiTheme="majorBidi" w:cstheme="majorBidi"/>
          <w:color w:val="232321"/>
          <w:sz w:val="24"/>
          <w:szCs w:val="24"/>
        </w:rPr>
        <w:t>obduction</w:t>
      </w:r>
      <w:proofErr w:type="spellEnd"/>
      <w:r w:rsidRPr="00F72E1A">
        <w:rPr>
          <w:rFonts w:asciiTheme="majorBidi" w:hAnsiTheme="majorBidi" w:cstheme="majorBidi"/>
          <w:color w:val="232321"/>
          <w:sz w:val="24"/>
          <w:szCs w:val="24"/>
        </w:rPr>
        <w:t xml:space="preserve"> (R. Coleman, 1971). Ce phénomène est bien développé dans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les chaînes alpines du Pacifique SW (Papouasie, Nouvelle-Guinée, Nouvelle-Calédonie)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et également dans le domaine téthysien, en particulier en Oman.</w:t>
      </w:r>
    </w:p>
    <w:p w:rsidR="00F72E1A" w:rsidRPr="00F72E1A" w:rsidRDefault="00F72E1A" w:rsidP="00F72E1A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72E1A">
        <w:rPr>
          <w:rFonts w:asciiTheme="majorBidi" w:hAnsiTheme="majorBidi" w:cstheme="majorBidi"/>
          <w:color w:val="232321"/>
          <w:sz w:val="24"/>
          <w:szCs w:val="24"/>
        </w:rPr>
        <w:t>L’</w:t>
      </w:r>
      <w:proofErr w:type="spellStart"/>
      <w:r w:rsidRPr="00F72E1A">
        <w:rPr>
          <w:rFonts w:asciiTheme="majorBidi" w:hAnsiTheme="majorBidi" w:cstheme="majorBidi"/>
          <w:color w:val="232321"/>
          <w:sz w:val="24"/>
          <w:szCs w:val="24"/>
        </w:rPr>
        <w:t>obduction</w:t>
      </w:r>
      <w:proofErr w:type="spellEnd"/>
      <w:r w:rsidRPr="00F72E1A">
        <w:rPr>
          <w:rFonts w:asciiTheme="majorBidi" w:hAnsiTheme="majorBidi" w:cstheme="majorBidi"/>
          <w:color w:val="232321"/>
          <w:sz w:val="24"/>
          <w:szCs w:val="24"/>
        </w:rPr>
        <w:t xml:space="preserve"> constitue souvent une étape précoce au cours d’un cycle de déformation.</w:t>
      </w:r>
    </w:p>
    <w:p w:rsidR="00F72E1A" w:rsidRPr="00F72E1A" w:rsidRDefault="00F72E1A" w:rsidP="00A4320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72E1A">
        <w:rPr>
          <w:rFonts w:asciiTheme="majorBidi" w:hAnsiTheme="majorBidi" w:cstheme="majorBidi"/>
          <w:color w:val="232321"/>
          <w:sz w:val="24"/>
          <w:szCs w:val="24"/>
        </w:rPr>
        <w:t>Elle est presque toujours suivie par une phase de collision si bien que les</w:t>
      </w:r>
      <w:r w:rsidR="00A4320F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géométries primitives sont partiellement ou totalement masquées et que même le</w:t>
      </w:r>
      <w:r w:rsidR="00A4320F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domaine océanique originel disparaît. Il devient dès lors difficile de retrouver le</w:t>
      </w:r>
      <w:r w:rsidR="00A4320F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mécanisme de mise en place des ophiolites.</w:t>
      </w:r>
    </w:p>
    <w:p w:rsidR="00F72E1A" w:rsidRDefault="00F72E1A" w:rsidP="00A4320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F72E1A">
        <w:rPr>
          <w:rFonts w:asciiTheme="majorBidi" w:hAnsiTheme="majorBidi" w:cstheme="majorBidi"/>
          <w:color w:val="232321"/>
          <w:sz w:val="24"/>
          <w:szCs w:val="24"/>
        </w:rPr>
        <w:lastRenderedPageBreak/>
        <w:t>Toutefois il existe quelques cas, peu nombreux, où les structures d’</w:t>
      </w:r>
      <w:proofErr w:type="spellStart"/>
      <w:r w:rsidRPr="00F72E1A">
        <w:rPr>
          <w:rFonts w:asciiTheme="majorBidi" w:hAnsiTheme="majorBidi" w:cstheme="majorBidi"/>
          <w:color w:val="232321"/>
          <w:sz w:val="24"/>
          <w:szCs w:val="24"/>
        </w:rPr>
        <w:t>obduction</w:t>
      </w:r>
      <w:proofErr w:type="spellEnd"/>
      <w:r w:rsidRPr="00F72E1A">
        <w:rPr>
          <w:rFonts w:asciiTheme="majorBidi" w:hAnsiTheme="majorBidi" w:cstheme="majorBidi"/>
          <w:color w:val="232321"/>
          <w:sz w:val="24"/>
          <w:szCs w:val="24"/>
        </w:rPr>
        <w:t xml:space="preserve"> sont</w:t>
      </w:r>
      <w:r w:rsidR="00A4320F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>restées intactes après la mise en place du complexe océanique et, dans ce cas, on</w:t>
      </w:r>
      <w:r w:rsidR="00A4320F"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F72E1A">
        <w:rPr>
          <w:rFonts w:asciiTheme="majorBidi" w:hAnsiTheme="majorBidi" w:cstheme="majorBidi"/>
          <w:color w:val="232321"/>
          <w:sz w:val="24"/>
          <w:szCs w:val="24"/>
        </w:rPr>
        <w:t xml:space="preserve">peut réellement parler de </w:t>
      </w:r>
      <w:r w:rsidRPr="00F72E1A">
        <w:rPr>
          <w:rFonts w:asciiTheme="majorBidi" w:hAnsiTheme="majorBidi" w:cstheme="majorBidi"/>
          <w:i/>
          <w:iCs/>
          <w:color w:val="232321"/>
          <w:sz w:val="24"/>
          <w:szCs w:val="24"/>
        </w:rPr>
        <w:t>chaînes d’</w:t>
      </w:r>
      <w:proofErr w:type="spellStart"/>
      <w:r w:rsidRPr="00F72E1A">
        <w:rPr>
          <w:rFonts w:asciiTheme="majorBidi" w:hAnsiTheme="majorBidi" w:cstheme="majorBidi"/>
          <w:i/>
          <w:iCs/>
          <w:color w:val="232321"/>
          <w:sz w:val="24"/>
          <w:szCs w:val="24"/>
        </w:rPr>
        <w:t>obduction</w:t>
      </w:r>
      <w:proofErr w:type="spellEnd"/>
      <w:r w:rsidRPr="00F72E1A">
        <w:rPr>
          <w:rFonts w:asciiTheme="majorBidi" w:hAnsiTheme="majorBidi" w:cstheme="majorBidi"/>
          <w:color w:val="232321"/>
          <w:sz w:val="24"/>
          <w:szCs w:val="24"/>
        </w:rPr>
        <w:t>.</w:t>
      </w:r>
    </w:p>
    <w:p w:rsidR="00A4320F" w:rsidRPr="00A4320F" w:rsidRDefault="00A4320F" w:rsidP="00A4320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i/>
          <w:iCs/>
          <w:color w:val="232321"/>
          <w:sz w:val="24"/>
          <w:szCs w:val="24"/>
        </w:rPr>
      </w:pPr>
      <w:r w:rsidRPr="00A4320F">
        <w:rPr>
          <w:rFonts w:asciiTheme="majorBidi" w:hAnsiTheme="majorBidi" w:cstheme="majorBidi"/>
          <w:b/>
          <w:bCs/>
          <w:color w:val="232321"/>
          <w:sz w:val="24"/>
          <w:szCs w:val="24"/>
        </w:rPr>
        <w:t xml:space="preserve">4.1 L’OMAN </w:t>
      </w:r>
      <w:r w:rsidRPr="00A4320F">
        <w:rPr>
          <w:rFonts w:asciiTheme="majorBidi" w:hAnsiTheme="majorBidi" w:cstheme="majorBidi"/>
          <w:i/>
          <w:iCs/>
          <w:color w:val="232321"/>
          <w:sz w:val="24"/>
          <w:szCs w:val="24"/>
        </w:rPr>
        <w:t>(fig. 9.1)</w:t>
      </w:r>
    </w:p>
    <w:p w:rsidR="00A4320F" w:rsidRDefault="00A4320F" w:rsidP="00A4320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 w:rsidRPr="00A4320F">
        <w:rPr>
          <w:rFonts w:asciiTheme="majorBidi" w:hAnsiTheme="majorBidi" w:cstheme="majorBidi"/>
          <w:color w:val="232321"/>
          <w:sz w:val="24"/>
          <w:szCs w:val="24"/>
        </w:rPr>
        <w:t>À la pointe orientale de la péninsule Arabe, s’élève la chaîne d’Oman (500 par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A4320F">
        <w:rPr>
          <w:rFonts w:asciiTheme="majorBidi" w:hAnsiTheme="majorBidi" w:cstheme="majorBidi"/>
          <w:color w:val="232321"/>
          <w:sz w:val="24"/>
          <w:szCs w:val="24"/>
        </w:rPr>
        <w:t xml:space="preserve">100 km environ), culminant à un peu plus de 3 000 m au Djebel </w:t>
      </w:r>
      <w:proofErr w:type="spellStart"/>
      <w:r w:rsidRPr="00A4320F">
        <w:rPr>
          <w:rFonts w:asciiTheme="majorBidi" w:hAnsiTheme="majorBidi" w:cstheme="majorBidi"/>
          <w:color w:val="232321"/>
          <w:sz w:val="24"/>
          <w:szCs w:val="24"/>
        </w:rPr>
        <w:t>Akhadar</w:t>
      </w:r>
      <w:proofErr w:type="spellEnd"/>
      <w:r w:rsidRPr="00A4320F">
        <w:rPr>
          <w:rFonts w:asciiTheme="majorBidi" w:hAnsiTheme="majorBidi" w:cstheme="majorBidi"/>
          <w:color w:val="232321"/>
          <w:sz w:val="24"/>
          <w:szCs w:val="24"/>
        </w:rPr>
        <w:t>, et qui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A4320F">
        <w:rPr>
          <w:rFonts w:asciiTheme="majorBidi" w:hAnsiTheme="majorBidi" w:cstheme="majorBidi"/>
          <w:color w:val="232321"/>
          <w:sz w:val="24"/>
          <w:szCs w:val="24"/>
        </w:rPr>
        <w:t>montre une immense nappe ophiolitique (</w:t>
      </w:r>
      <w:proofErr w:type="spellStart"/>
      <w:r w:rsidRPr="00A4320F">
        <w:rPr>
          <w:rFonts w:asciiTheme="majorBidi" w:hAnsiTheme="majorBidi" w:cstheme="majorBidi"/>
          <w:color w:val="232321"/>
          <w:sz w:val="24"/>
          <w:szCs w:val="24"/>
        </w:rPr>
        <w:t>Semail</w:t>
      </w:r>
      <w:proofErr w:type="spellEnd"/>
      <w:r w:rsidRPr="00A4320F">
        <w:rPr>
          <w:rFonts w:asciiTheme="majorBidi" w:hAnsiTheme="majorBidi" w:cstheme="majorBidi"/>
          <w:color w:val="232321"/>
          <w:sz w:val="24"/>
          <w:szCs w:val="24"/>
        </w:rPr>
        <w:t>) reposant à plat sur la plate-forme</w:t>
      </w:r>
      <w:r>
        <w:rPr>
          <w:rFonts w:asciiTheme="majorBidi" w:hAnsiTheme="majorBidi" w:cstheme="majorBidi"/>
          <w:color w:val="232321"/>
          <w:sz w:val="24"/>
          <w:szCs w:val="24"/>
        </w:rPr>
        <w:t xml:space="preserve"> </w:t>
      </w:r>
      <w:r w:rsidRPr="00A4320F">
        <w:rPr>
          <w:rFonts w:asciiTheme="majorBidi" w:hAnsiTheme="majorBidi" w:cstheme="majorBidi"/>
          <w:color w:val="232321"/>
          <w:sz w:val="24"/>
          <w:szCs w:val="24"/>
        </w:rPr>
        <w:t>arabe.</w:t>
      </w:r>
    </w:p>
    <w:p w:rsidR="00A4320F" w:rsidRPr="00A4320F" w:rsidRDefault="00A4320F" w:rsidP="00A4320F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color w:val="232321"/>
          <w:sz w:val="24"/>
          <w:szCs w:val="24"/>
        </w:rPr>
        <w:lastRenderedPageBreak/>
        <w:t xml:space="preserve"> </w:t>
      </w: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drawing>
          <wp:inline distT="0" distB="0" distL="0" distR="0">
            <wp:extent cx="5760720" cy="7951619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1A" w:rsidRPr="002B3439" w:rsidRDefault="00F72E1A" w:rsidP="002B343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  <w:r>
        <w:rPr>
          <w:rFonts w:asciiTheme="majorBidi" w:hAnsiTheme="majorBidi" w:cstheme="majorBidi"/>
          <w:noProof/>
          <w:color w:val="232321"/>
          <w:sz w:val="24"/>
          <w:szCs w:val="24"/>
          <w:lang w:eastAsia="fr-FR"/>
        </w:rPr>
        <w:lastRenderedPageBreak/>
        <w:drawing>
          <wp:inline distT="0" distB="0" distL="0" distR="0">
            <wp:extent cx="5760720" cy="8294882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1E" w:rsidRPr="00F3602B" w:rsidRDefault="00F44B1E" w:rsidP="00F44B1E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color w:val="232321"/>
          <w:sz w:val="24"/>
          <w:szCs w:val="24"/>
        </w:rPr>
      </w:pPr>
    </w:p>
    <w:p w:rsidR="00FD7E91" w:rsidRDefault="00FD7E91" w:rsidP="009F29B3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</w:p>
    <w:p w:rsidR="00FD7E91" w:rsidRPr="009F29B3" w:rsidRDefault="00FD7E91" w:rsidP="009F29B3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232321"/>
          <w:sz w:val="24"/>
          <w:szCs w:val="24"/>
        </w:rPr>
      </w:pPr>
    </w:p>
    <w:sectPr w:rsidR="00FD7E91" w:rsidRPr="009F2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Ultra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6A83"/>
    <w:multiLevelType w:val="hybridMultilevel"/>
    <w:tmpl w:val="430CB876"/>
    <w:lvl w:ilvl="0" w:tplc="229891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33E"/>
    <w:multiLevelType w:val="hybridMultilevel"/>
    <w:tmpl w:val="430CB876"/>
    <w:lvl w:ilvl="0" w:tplc="229891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3A"/>
    <w:rsid w:val="00087F11"/>
    <w:rsid w:val="000C441E"/>
    <w:rsid w:val="00196F8F"/>
    <w:rsid w:val="00235586"/>
    <w:rsid w:val="002B3439"/>
    <w:rsid w:val="003F242B"/>
    <w:rsid w:val="0040353A"/>
    <w:rsid w:val="004A6B37"/>
    <w:rsid w:val="00531FC7"/>
    <w:rsid w:val="005A7FB9"/>
    <w:rsid w:val="0064182A"/>
    <w:rsid w:val="006A17C9"/>
    <w:rsid w:val="00704539"/>
    <w:rsid w:val="00712DF2"/>
    <w:rsid w:val="00716462"/>
    <w:rsid w:val="00777FB4"/>
    <w:rsid w:val="007E2E1F"/>
    <w:rsid w:val="009613AE"/>
    <w:rsid w:val="009F29B3"/>
    <w:rsid w:val="00A24296"/>
    <w:rsid w:val="00A3748B"/>
    <w:rsid w:val="00A4320F"/>
    <w:rsid w:val="00AE2DAF"/>
    <w:rsid w:val="00B77764"/>
    <w:rsid w:val="00CC3FFA"/>
    <w:rsid w:val="00CF2AAD"/>
    <w:rsid w:val="00F3602B"/>
    <w:rsid w:val="00F44B1E"/>
    <w:rsid w:val="00F72E1A"/>
    <w:rsid w:val="00F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76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B3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76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B3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15</Pages>
  <Words>2047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</dc:creator>
  <cp:lastModifiedBy>ACER-</cp:lastModifiedBy>
  <cp:revision>13</cp:revision>
  <dcterms:created xsi:type="dcterms:W3CDTF">2022-12-10T11:48:00Z</dcterms:created>
  <dcterms:modified xsi:type="dcterms:W3CDTF">2023-11-27T08:48:00Z</dcterms:modified>
</cp:coreProperties>
</file>