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3C" w:rsidRPr="00E8153C" w:rsidRDefault="00E8153C" w:rsidP="00E8153C">
      <w:pPr>
        <w:jc w:val="center"/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</w:rPr>
      </w:pPr>
      <w:r w:rsidRPr="00E8153C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</w:rPr>
        <w:t>L’orogénèse panafricaine</w:t>
      </w:r>
    </w:p>
    <w:p w:rsidR="00B53E95" w:rsidRDefault="00F306F6" w:rsidP="00E8153C">
      <w:p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306F6">
        <w:rPr>
          <w:rFonts w:asciiTheme="majorBidi" w:hAnsiTheme="majorBidi" w:cstheme="majorBidi"/>
          <w:sz w:val="24"/>
          <w:szCs w:val="24"/>
          <w:shd w:val="clear" w:color="auto" w:fill="FFFFFF"/>
        </w:rPr>
        <w:t>L'</w:t>
      </w:r>
      <w:r w:rsidRPr="00F306F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orogenèse panafricaine</w:t>
      </w:r>
      <w:r w:rsidRPr="00F306F6">
        <w:rPr>
          <w:rFonts w:asciiTheme="majorBidi" w:hAnsiTheme="majorBidi" w:cstheme="majorBidi"/>
          <w:sz w:val="24"/>
          <w:szCs w:val="24"/>
          <w:shd w:val="clear" w:color="auto" w:fill="FFFFFF"/>
        </w:rPr>
        <w:t> est une série d'événements </w:t>
      </w:r>
      <w:hyperlink r:id="rId5" w:tooltip="Orogenèse" w:history="1">
        <w:r w:rsidRPr="00F306F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orogéniques</w:t>
        </w:r>
      </w:hyperlink>
      <w:r w:rsidRPr="00F306F6">
        <w:rPr>
          <w:rFonts w:asciiTheme="majorBidi" w:hAnsiTheme="majorBidi" w:cstheme="majorBidi"/>
          <w:sz w:val="24"/>
          <w:szCs w:val="24"/>
          <w:shd w:val="clear" w:color="auto" w:fill="FFFFFF"/>
        </w:rPr>
        <w:t> majeurs du </w:t>
      </w:r>
      <w:r w:rsidR="00E8153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hyperlink r:id="rId6" w:tooltip="Néoprotérozoïque" w:history="1">
        <w:proofErr w:type="spellStart"/>
        <w:r w:rsidRPr="00F306F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Néoprotérozoïque</w:t>
        </w:r>
        <w:proofErr w:type="spellEnd"/>
      </w:hyperlink>
      <w:r w:rsidRPr="00F306F6">
        <w:rPr>
          <w:rFonts w:asciiTheme="majorBidi" w:hAnsiTheme="majorBidi" w:cstheme="majorBidi"/>
          <w:sz w:val="24"/>
          <w:szCs w:val="24"/>
          <w:shd w:val="clear" w:color="auto" w:fill="FFFFFF"/>
        </w:rPr>
        <w:t> relatifs à la formation des </w:t>
      </w:r>
      <w:hyperlink r:id="rId7" w:tooltip="Supercontinent" w:history="1">
        <w:r w:rsidRPr="00F306F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supercontinents</w:t>
        </w:r>
      </w:hyperlink>
      <w:r w:rsidRPr="00F306F6">
        <w:rPr>
          <w:rFonts w:asciiTheme="majorBidi" w:hAnsiTheme="majorBidi" w:cstheme="majorBidi"/>
          <w:sz w:val="24"/>
          <w:szCs w:val="24"/>
          <w:shd w:val="clear" w:color="auto" w:fill="FFFFFF"/>
        </w:rPr>
        <w:t> du </w:t>
      </w:r>
      <w:hyperlink r:id="rId8" w:tooltip="Gondwana" w:history="1">
        <w:r w:rsidRPr="00F306F6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Gondwana</w:t>
        </w:r>
      </w:hyperlink>
      <w:r w:rsidR="00E8153C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F306F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il y a environ 600 millions d'années (Ma). Cette orogenèse, aussi connue sous le nom de « pan-Gondwanienne » ou d'« orogenèse </w:t>
      </w:r>
      <w:proofErr w:type="spellStart"/>
      <w:r w:rsidRPr="00F306F6">
        <w:rPr>
          <w:rFonts w:asciiTheme="majorBidi" w:hAnsiTheme="majorBidi" w:cstheme="majorBidi"/>
          <w:sz w:val="24"/>
          <w:szCs w:val="24"/>
          <w:shd w:val="clear" w:color="auto" w:fill="FFFFFF"/>
        </w:rPr>
        <w:t>saldanienne</w:t>
      </w:r>
      <w:proofErr w:type="spellEnd"/>
      <w:r w:rsidRPr="00F306F6">
        <w:rPr>
          <w:rFonts w:asciiTheme="majorBidi" w:hAnsiTheme="majorBidi" w:cstheme="majorBidi"/>
          <w:sz w:val="24"/>
          <w:szCs w:val="24"/>
          <w:shd w:val="clear" w:color="auto" w:fill="FFFFFF"/>
        </w:rPr>
        <w:t> », est à l'origine de la </w:t>
      </w:r>
      <w:r w:rsidRPr="00F306F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chaîne panafricaine</w:t>
      </w:r>
      <w:r w:rsidRPr="00F306F6">
        <w:rPr>
          <w:rFonts w:asciiTheme="majorBidi" w:hAnsiTheme="majorBidi" w:cstheme="majorBidi"/>
          <w:sz w:val="24"/>
          <w:szCs w:val="24"/>
          <w:shd w:val="clear" w:color="auto" w:fill="FFFFFF"/>
        </w:rPr>
        <w:t>, grand système orogénique que l'on trouve dans toute l'Afrique et au-delà</w:t>
      </w:r>
    </w:p>
    <w:p w:rsidR="00F306F6" w:rsidRPr="00F306F6" w:rsidRDefault="00F306F6" w:rsidP="00F306F6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fr-FR"/>
        </w:rPr>
      </w:pPr>
      <w:r w:rsidRPr="00F306F6">
        <w:rPr>
          <w:rFonts w:ascii="Georgia" w:eastAsia="Times New Roman" w:hAnsi="Georgia" w:cs="Times New Roman"/>
          <w:b/>
          <w:bCs/>
          <w:sz w:val="36"/>
          <w:szCs w:val="36"/>
          <w:lang w:eastAsia="fr-FR"/>
        </w:rPr>
        <w:t>Ceintures panafricaines</w:t>
      </w:r>
    </w:p>
    <w:p w:rsidR="00F306F6" w:rsidRDefault="00F306F6" w:rsidP="00F3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  <w:lang w:eastAsia="fr-FR"/>
        </w:rPr>
        <w:drawing>
          <wp:inline distT="0" distB="0" distL="0" distR="0">
            <wp:extent cx="4049485" cy="3866145"/>
            <wp:effectExtent l="0" t="0" r="8255" b="1270"/>
            <wp:docPr id="2" name="Image 2" descr="https://upload.wikimedia.org/wikipedia/commons/thumb/d/d7/Cratons_West_Gondwana_and_EAO_v2.png/220px-Cratons_West_Gondwana_and_EAO_v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d/d7/Cratons_West_Gondwana_and_EAO_v2.png/220px-Cratons_West_Gondwana_and_EAO_v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721" cy="38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6F6" w:rsidRPr="00F306F6" w:rsidRDefault="00F306F6" w:rsidP="00E8153C">
      <w:pPr>
        <w:spacing w:after="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F306F6">
        <w:rPr>
          <w:rFonts w:asciiTheme="majorBidi" w:eastAsia="Times New Roman" w:hAnsiTheme="majorBidi" w:cstheme="majorBidi"/>
          <w:sz w:val="28"/>
          <w:szCs w:val="28"/>
          <w:lang w:eastAsia="fr-FR"/>
        </w:rPr>
        <w:t>L'ouest du Gondwana avec les cratons majeurs en brun et l'orogenèse panafricaine en gris.</w:t>
      </w:r>
    </w:p>
    <w:p w:rsidR="00E8153C" w:rsidRPr="00E8153C" w:rsidRDefault="00F306F6" w:rsidP="00E8153C">
      <w:pPr>
        <w:shd w:val="clear" w:color="auto" w:fill="FFFFFF"/>
        <w:spacing w:before="120" w:after="240"/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</w:pPr>
      <w:r w:rsidRPr="00E8153C"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  <w:t xml:space="preserve">Le </w:t>
      </w:r>
      <w:r w:rsidRPr="00F306F6"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  <w:t>système panafricain</w:t>
      </w:r>
      <w:r w:rsidRPr="00E8153C"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  <w:t xml:space="preserve"> est formé de plusieurs </w:t>
      </w:r>
      <w:r w:rsidRPr="00F306F6"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  <w:t xml:space="preserve"> ceintur</w:t>
      </w:r>
      <w:r w:rsidRPr="00E8153C"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  <w:t xml:space="preserve">es orogéniques </w:t>
      </w:r>
      <w:r w:rsidRPr="00F306F6"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  <w:t xml:space="preserve"> constituées d'une mosaïque de </w:t>
      </w:r>
      <w:hyperlink r:id="rId11" w:tooltip="Plaque tectonique" w:history="1">
        <w:r w:rsidRPr="00E8153C">
          <w:rPr>
            <w:rFonts w:asciiTheme="majorBidi" w:eastAsia="Times New Roman" w:hAnsiTheme="majorBidi" w:cstheme="majorBidi"/>
            <w:color w:val="0000FF"/>
            <w:sz w:val="28"/>
            <w:szCs w:val="28"/>
            <w:lang w:eastAsia="fr-FR"/>
          </w:rPr>
          <w:t>microplaques</w:t>
        </w:r>
      </w:hyperlink>
      <w:r w:rsidRPr="00E8153C"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  <w:t> en mouvement (</w:t>
      </w:r>
      <w:proofErr w:type="spellStart"/>
      <w:r w:rsidRPr="00E8153C"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  <w:t>fig</w:t>
      </w:r>
      <w:proofErr w:type="spellEnd"/>
      <w:r w:rsidR="00E8153C" w:rsidRPr="00E8153C"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  <w:t xml:space="preserve">        )</w:t>
      </w:r>
    </w:p>
    <w:p w:rsidR="00F306F6" w:rsidRPr="00E8153C" w:rsidRDefault="00E8153C" w:rsidP="00E8153C">
      <w:pPr>
        <w:shd w:val="clear" w:color="auto" w:fill="FFFFFF"/>
        <w:spacing w:before="120" w:after="240"/>
        <w:rPr>
          <w:rFonts w:asciiTheme="majorBidi" w:hAnsiTheme="majorBidi" w:cstheme="majorBidi"/>
          <w:sz w:val="28"/>
          <w:szCs w:val="28"/>
        </w:rPr>
      </w:pPr>
      <w:r w:rsidRPr="00E8153C">
        <w:rPr>
          <w:rFonts w:asciiTheme="majorBidi" w:eastAsia="Times New Roman" w:hAnsiTheme="majorBidi" w:cstheme="majorBidi"/>
          <w:color w:val="202122"/>
          <w:sz w:val="28"/>
          <w:szCs w:val="28"/>
          <w:lang w:eastAsia="fr-FR"/>
        </w:rPr>
        <w:t xml:space="preserve">Parmi ces ceintures </w:t>
      </w:r>
      <w:r w:rsidR="00F306F6" w:rsidRPr="00E8153C">
        <w:rPr>
          <w:rFonts w:asciiTheme="majorBidi" w:hAnsiTheme="majorBidi" w:cstheme="majorBidi"/>
          <w:sz w:val="28"/>
          <w:szCs w:val="28"/>
          <w:shd w:val="clear" w:color="auto" w:fill="FFFFFF"/>
        </w:rPr>
        <w:t>La </w:t>
      </w:r>
      <w:hyperlink r:id="rId12" w:tooltip="Ceinture transsaharienne (page inexistante)" w:history="1">
        <w:r w:rsidR="00F306F6" w:rsidRPr="00E8153C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ceinture transsaharienne</w:t>
        </w:r>
      </w:hyperlink>
      <w:r w:rsidR="00F306F6" w:rsidRPr="00E8153C">
        <w:rPr>
          <w:rFonts w:asciiTheme="majorBidi" w:hAnsiTheme="majorBidi" w:cstheme="majorBidi"/>
          <w:sz w:val="28"/>
          <w:szCs w:val="28"/>
          <w:shd w:val="clear" w:color="auto" w:fill="FFFFFF"/>
        </w:rPr>
        <w:t>, longue de 3 000 </w:t>
      </w:r>
      <w:r w:rsidR="00F306F6" w:rsidRPr="00E8153C">
        <w:rPr>
          <w:rFonts w:asciiTheme="majorBidi" w:hAnsiTheme="majorBidi" w:cstheme="majorBidi"/>
          <w:sz w:val="28"/>
          <w:szCs w:val="28"/>
        </w:rPr>
        <w:t>km</w:t>
      </w:r>
      <w:r w:rsidR="00F306F6" w:rsidRPr="00E8153C">
        <w:rPr>
          <w:rFonts w:asciiTheme="majorBidi" w:hAnsiTheme="majorBidi" w:cstheme="majorBidi"/>
          <w:sz w:val="28"/>
          <w:szCs w:val="28"/>
          <w:shd w:val="clear" w:color="auto" w:fill="FFFFFF"/>
        </w:rPr>
        <w:t>, court au nord et à l'est du </w:t>
      </w:r>
      <w:hyperlink r:id="rId13" w:tooltip="Craton d'Afrique de l'Ouest" w:history="1">
        <w:r w:rsidR="00F306F6" w:rsidRPr="00E8153C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craton d'Afrique de l'Ouest</w:t>
        </w:r>
      </w:hyperlink>
      <w:r w:rsidR="00F306F6" w:rsidRPr="00E8153C">
        <w:rPr>
          <w:rFonts w:asciiTheme="majorBidi" w:hAnsiTheme="majorBidi" w:cstheme="majorBidi"/>
          <w:sz w:val="28"/>
          <w:szCs w:val="28"/>
          <w:shd w:val="clear" w:color="auto" w:fill="FFFFFF"/>
        </w:rPr>
        <w:t>, bordant le </w:t>
      </w:r>
      <w:hyperlink r:id="rId14" w:tooltip="Bouclier nigérian (page inexistante)" w:history="1">
        <w:r w:rsidR="00F306F6" w:rsidRPr="00E8153C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bouclier nigérian</w:t>
        </w:r>
      </w:hyperlink>
      <w:r w:rsidR="00F306F6" w:rsidRPr="00E8153C">
        <w:rPr>
          <w:rFonts w:asciiTheme="majorBidi" w:hAnsiTheme="majorBidi" w:cstheme="majorBidi"/>
          <w:sz w:val="28"/>
          <w:szCs w:val="28"/>
          <w:shd w:val="clear" w:color="auto" w:fill="FFFFFF"/>
        </w:rPr>
        <w:t> et le </w:t>
      </w:r>
      <w:hyperlink r:id="rId15" w:tooltip="Bouclier touarègue (page inexistante)" w:history="1">
        <w:r w:rsidR="00F306F6" w:rsidRPr="00E8153C">
          <w:rPr>
            <w:rStyle w:val="Lienhypertexte"/>
            <w:rFonts w:asciiTheme="majorBidi" w:hAnsiTheme="majorBidi" w:cstheme="majorBidi"/>
            <w:color w:val="auto"/>
            <w:sz w:val="28"/>
            <w:szCs w:val="28"/>
            <w:shd w:val="clear" w:color="auto" w:fill="FFFFFF"/>
          </w:rPr>
          <w:t>bouclier touarègue</w:t>
        </w:r>
      </w:hyperlink>
      <w:r w:rsidR="00F306F6" w:rsidRPr="00E8153C">
        <w:rPr>
          <w:rFonts w:asciiTheme="majorBidi" w:hAnsiTheme="majorBidi" w:cstheme="majorBidi"/>
          <w:sz w:val="28"/>
          <w:szCs w:val="28"/>
          <w:shd w:val="clear" w:color="auto" w:fill="FFFFFF"/>
        </w:rPr>
        <w:t>. Elle est faite de roches fortement déformées du pré-</w:t>
      </w:r>
      <w:proofErr w:type="spellStart"/>
      <w:r w:rsidR="00F306F6" w:rsidRPr="00E8153C">
        <w:rPr>
          <w:rFonts w:asciiTheme="majorBidi" w:hAnsiTheme="majorBidi" w:cstheme="majorBidi"/>
          <w:sz w:val="28"/>
          <w:szCs w:val="28"/>
          <w:shd w:val="clear" w:color="auto" w:fill="FFFFFF"/>
        </w:rPr>
        <w:t>Néoprotérozoïque</w:t>
      </w:r>
      <w:proofErr w:type="spellEnd"/>
      <w:r w:rsidR="00F306F6" w:rsidRPr="00E8153C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et du </w:t>
      </w:r>
      <w:proofErr w:type="spellStart"/>
      <w:r w:rsidR="00F306F6" w:rsidRPr="00E8153C">
        <w:rPr>
          <w:rFonts w:asciiTheme="majorBidi" w:hAnsiTheme="majorBidi" w:cstheme="majorBidi"/>
          <w:sz w:val="28"/>
          <w:szCs w:val="28"/>
          <w:shd w:val="clear" w:color="auto" w:fill="FFFFFF"/>
        </w:rPr>
        <w:t>Néoprotérozoïque</w:t>
      </w:r>
      <w:proofErr w:type="spellEnd"/>
      <w:r w:rsidR="00F306F6" w:rsidRPr="00E8153C">
        <w:rPr>
          <w:rFonts w:asciiTheme="majorBidi" w:hAnsiTheme="majorBidi" w:cstheme="majorBidi"/>
          <w:sz w:val="28"/>
          <w:szCs w:val="28"/>
          <w:shd w:val="clear" w:color="auto" w:fill="FFFFFF"/>
        </w:rPr>
        <w:t>, contenant de l'ophiolite, des </w:t>
      </w:r>
      <w:hyperlink r:id="rId16" w:tooltip="Prisme d'accrétion" w:history="1">
        <w:r w:rsidR="00F306F6" w:rsidRPr="00E8153C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prismes d'acc</w:t>
        </w:r>
        <w:r w:rsidR="00F306F6" w:rsidRPr="00E8153C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r</w:t>
        </w:r>
        <w:r w:rsidR="00F306F6" w:rsidRPr="00E8153C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étion</w:t>
        </w:r>
      </w:hyperlink>
      <w:r w:rsidR="00F306F6" w:rsidRPr="00E8153C">
        <w:rPr>
          <w:rFonts w:asciiTheme="majorBidi" w:hAnsiTheme="majorBidi" w:cstheme="majorBidi"/>
          <w:sz w:val="28"/>
          <w:szCs w:val="28"/>
          <w:shd w:val="clear" w:color="auto" w:fill="FFFFFF"/>
        </w:rPr>
        <w:t> et des roches métamorphisées sous haute pression, datées de 900 à 520 </w:t>
      </w:r>
      <w:r w:rsidR="00F306F6" w:rsidRPr="00E8153C">
        <w:rPr>
          <w:rFonts w:asciiTheme="majorBidi" w:hAnsiTheme="majorBidi" w:cstheme="majorBidi"/>
          <w:sz w:val="28"/>
          <w:szCs w:val="28"/>
        </w:rPr>
        <w:t>Ma</w:t>
      </w:r>
    </w:p>
    <w:p w:rsidR="00F306F6" w:rsidRDefault="00F306F6">
      <w:r>
        <w:rPr>
          <w:noProof/>
          <w:lang w:eastAsia="fr-FR"/>
        </w:rPr>
        <w:lastRenderedPageBreak/>
        <w:drawing>
          <wp:inline distT="0" distB="0" distL="0" distR="0">
            <wp:extent cx="4476997" cy="4428148"/>
            <wp:effectExtent l="0" t="0" r="0" b="0"/>
            <wp:docPr id="1" name="Imag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920" cy="442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53C" w:rsidRDefault="00E8153C" w:rsidP="00E8153C">
      <w:pPr>
        <w:jc w:val="center"/>
        <w:rPr>
          <w:rFonts w:hint="cs"/>
          <w:rtl/>
          <w:lang w:bidi="ar-DZ"/>
        </w:rPr>
      </w:pPr>
      <w:proofErr w:type="spellStart"/>
      <w:r w:rsidRPr="00E8153C">
        <w:rPr>
          <w:rStyle w:val="Lienhypertexte"/>
          <w:rFonts w:asciiTheme="majorBidi" w:hAnsiTheme="majorBidi" w:cstheme="majorBidi"/>
          <w:color w:val="auto"/>
          <w:sz w:val="28"/>
          <w:szCs w:val="28"/>
          <w:u w:val="none"/>
          <w:shd w:val="clear" w:color="auto" w:fill="FFFFFF"/>
        </w:rPr>
        <w:t>Fig</w:t>
      </w:r>
      <w:proofErr w:type="spellEnd"/>
      <w:r>
        <w:t xml:space="preserve">         </w:t>
      </w:r>
      <w:r w:rsidRPr="00E8153C">
        <w:rPr>
          <w:rFonts w:asciiTheme="majorBidi" w:hAnsiTheme="majorBidi" w:cstheme="majorBidi"/>
          <w:sz w:val="28"/>
          <w:szCs w:val="28"/>
          <w:shd w:val="clear" w:color="auto" w:fill="FFFFFF"/>
        </w:rPr>
        <w:t>La </w:t>
      </w:r>
      <w:hyperlink r:id="rId18" w:tooltip="Ceinture transsaharienne (page inexistante)" w:history="1">
        <w:r w:rsidRPr="00E8153C">
          <w:rPr>
            <w:rStyle w:val="Lienhypertexte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ceinture transsaharienne</w:t>
        </w:r>
      </w:hyperlink>
      <w:bookmarkStart w:id="0" w:name="_GoBack"/>
      <w:bookmarkEnd w:id="0"/>
    </w:p>
    <w:sectPr w:rsidR="00E8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F6"/>
    <w:rsid w:val="00AF3321"/>
    <w:rsid w:val="00B512A7"/>
    <w:rsid w:val="00B53E95"/>
    <w:rsid w:val="00E8153C"/>
    <w:rsid w:val="00F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306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306F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306F6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6F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F306F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w-editsection">
    <w:name w:val="mw-editsection"/>
    <w:basedOn w:val="Policepardfaut"/>
    <w:rsid w:val="00F306F6"/>
  </w:style>
  <w:style w:type="character" w:customStyle="1" w:styleId="mw-editsection-bracket">
    <w:name w:val="mw-editsection-bracket"/>
    <w:basedOn w:val="Policepardfaut"/>
    <w:rsid w:val="00F306F6"/>
  </w:style>
  <w:style w:type="character" w:customStyle="1" w:styleId="mw-editsection-divider">
    <w:name w:val="mw-editsection-divider"/>
    <w:basedOn w:val="Policepardfaut"/>
    <w:rsid w:val="00F306F6"/>
  </w:style>
  <w:style w:type="paragraph" w:styleId="NormalWeb">
    <w:name w:val="Normal (Web)"/>
    <w:basedOn w:val="Normal"/>
    <w:uiPriority w:val="99"/>
    <w:semiHidden/>
    <w:unhideWhenUsed/>
    <w:rsid w:val="00F3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306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306F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306F6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6F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F306F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w-editsection">
    <w:name w:val="mw-editsection"/>
    <w:basedOn w:val="Policepardfaut"/>
    <w:rsid w:val="00F306F6"/>
  </w:style>
  <w:style w:type="character" w:customStyle="1" w:styleId="mw-editsection-bracket">
    <w:name w:val="mw-editsection-bracket"/>
    <w:basedOn w:val="Policepardfaut"/>
    <w:rsid w:val="00F306F6"/>
  </w:style>
  <w:style w:type="character" w:customStyle="1" w:styleId="mw-editsection-divider">
    <w:name w:val="mw-editsection-divider"/>
    <w:basedOn w:val="Policepardfaut"/>
    <w:rsid w:val="00F306F6"/>
  </w:style>
  <w:style w:type="paragraph" w:styleId="NormalWeb">
    <w:name w:val="Normal (Web)"/>
    <w:basedOn w:val="Normal"/>
    <w:uiPriority w:val="99"/>
    <w:semiHidden/>
    <w:unhideWhenUsed/>
    <w:rsid w:val="00F3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18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Gondwana" TargetMode="External"/><Relationship Id="rId13" Type="http://schemas.openxmlformats.org/officeDocument/2006/relationships/hyperlink" Target="https://fr.wikipedia.org/wiki/Craton_d%27Afrique_de_l%27Ouest" TargetMode="External"/><Relationship Id="rId18" Type="http://schemas.openxmlformats.org/officeDocument/2006/relationships/hyperlink" Target="https://fr.wikipedia.org/w/index.php?title=Ceinture_transsaharienne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Supercontinent" TargetMode="External"/><Relationship Id="rId12" Type="http://schemas.openxmlformats.org/officeDocument/2006/relationships/hyperlink" Target="https://fr.wikipedia.org/w/index.php?title=Ceinture_transsaharienne&amp;action=edit&amp;redlink=1" TargetMode="External"/><Relationship Id="rId17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hyperlink" Target="https://fr.wikipedia.org/wiki/Prisme_d%27accr%C3%A9tio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N%C3%A9oprot%C3%A9rozo%C3%AFque" TargetMode="External"/><Relationship Id="rId11" Type="http://schemas.openxmlformats.org/officeDocument/2006/relationships/hyperlink" Target="https://fr.wikipedia.org/wiki/Plaque_tectonique" TargetMode="External"/><Relationship Id="rId5" Type="http://schemas.openxmlformats.org/officeDocument/2006/relationships/hyperlink" Target="https://fr.wikipedia.org/wiki/Orogen%C3%A8se" TargetMode="External"/><Relationship Id="rId15" Type="http://schemas.openxmlformats.org/officeDocument/2006/relationships/hyperlink" Target="https://fr.wikipedia.org/w/index.php?title=Bouclier_touar%C3%A8gue&amp;action=edit&amp;redlink=1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Cratons_West_Gondwana_and_EAO_v2.png?uselang=fr" TargetMode="External"/><Relationship Id="rId14" Type="http://schemas.openxmlformats.org/officeDocument/2006/relationships/hyperlink" Target="https://fr.wikipedia.org/w/index.php?title=Bouclier_nig%C3%A9rian&amp;action=edit&amp;redlink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2024-12-14T23:25:00Z</cp:lastPrinted>
  <dcterms:created xsi:type="dcterms:W3CDTF">2024-12-14T23:07:00Z</dcterms:created>
  <dcterms:modified xsi:type="dcterms:W3CDTF">2024-12-14T23:49:00Z</dcterms:modified>
</cp:coreProperties>
</file>