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07EE0" w14:textId="77777777" w:rsidR="00335786" w:rsidRDefault="00335786" w:rsidP="00335786">
      <w:r>
        <w:t>Cours 2 :</w:t>
      </w:r>
    </w:p>
    <w:p w14:paraId="66A044D8" w14:textId="77777777" w:rsidR="00335786" w:rsidRDefault="00335786" w:rsidP="00335786">
      <w:r>
        <w:t>Analyse et programmation des équipements et services :</w:t>
      </w:r>
    </w:p>
    <w:p w14:paraId="2D7DFAD8" w14:textId="77777777" w:rsidR="00335786" w:rsidRPr="00335786" w:rsidRDefault="00335786" w:rsidP="00335786">
      <w:pPr>
        <w:rPr>
          <w:lang w:val="en-US"/>
        </w:rPr>
      </w:pPr>
      <w:r w:rsidRPr="00335786">
        <w:t>Les unités spatiales composant la ville à travers le modèle de structuration peuvent être ordonnées suivant leur taille :</w:t>
      </w:r>
    </w:p>
    <w:p w14:paraId="550D0B48" w14:textId="77777777" w:rsidR="00335786" w:rsidRPr="00335786" w:rsidRDefault="00335786" w:rsidP="00335786">
      <w:pPr>
        <w:rPr>
          <w:lang w:val="en-US"/>
        </w:rPr>
      </w:pPr>
      <w:r w:rsidRPr="00335786">
        <w:t>2. Méthodologie de l’étude</w:t>
      </w:r>
    </w:p>
    <w:p w14:paraId="7076A8B0" w14:textId="77777777" w:rsidR="00335786" w:rsidRPr="00335786" w:rsidRDefault="00335786" w:rsidP="00335786">
      <w:pPr>
        <w:rPr>
          <w:lang w:val="en-US"/>
        </w:rPr>
      </w:pPr>
      <w:r w:rsidRPr="00335786">
        <w:t>3. Principe de hiérarchiser et de cumul</w:t>
      </w:r>
    </w:p>
    <w:p w14:paraId="1332587C" w14:textId="77777777" w:rsidR="00335786" w:rsidRPr="00335786" w:rsidRDefault="00335786" w:rsidP="00335786">
      <w:pPr>
        <w:rPr>
          <w:lang w:val="en-US"/>
        </w:rPr>
      </w:pPr>
      <w:r w:rsidRPr="00335786">
        <w:t>4. Catégorie de villes</w:t>
      </w:r>
    </w:p>
    <w:p w14:paraId="0D7939EF" w14:textId="77777777" w:rsidR="00335786" w:rsidRPr="00335786" w:rsidRDefault="00335786" w:rsidP="00335786">
      <w:pPr>
        <w:rPr>
          <w:lang w:val="en-US"/>
        </w:rPr>
      </w:pPr>
      <w:r w:rsidRPr="00335786">
        <w:t>Le principe de hiérarchie</w:t>
      </w:r>
    </w:p>
    <w:p w14:paraId="7EB031BB" w14:textId="77777777" w:rsidR="00335786" w:rsidRPr="00335786" w:rsidRDefault="00335786" w:rsidP="00335786">
      <w:pPr>
        <w:rPr>
          <w:lang w:val="en-US"/>
        </w:rPr>
      </w:pPr>
      <w:r w:rsidRPr="00335786">
        <w:t>Il s’applique aux équipements, aux unités spatiales et aux villes.</w:t>
      </w:r>
    </w:p>
    <w:p w14:paraId="4870BDB5" w14:textId="77777777" w:rsidR="00335786" w:rsidRPr="00335786" w:rsidRDefault="00335786" w:rsidP="00335786">
      <w:pPr>
        <w:rPr>
          <w:lang w:val="en-US"/>
        </w:rPr>
      </w:pPr>
      <w:r w:rsidRPr="00335786">
        <w:t>Les équipements peuvent être subdivisés en deux grandes catégories, selon le caractère du service.</w:t>
      </w:r>
    </w:p>
    <w:p w14:paraId="282A9C73" w14:textId="77777777" w:rsidR="00335786" w:rsidRPr="00335786" w:rsidRDefault="00335786" w:rsidP="00335786">
      <w:pPr>
        <w:rPr>
          <w:lang w:val="en-US"/>
        </w:rPr>
      </w:pPr>
      <w:r w:rsidRPr="00335786">
        <w:t>Le principe de cumul :</w:t>
      </w:r>
    </w:p>
    <w:p w14:paraId="05C0BD80" w14:textId="77777777" w:rsidR="00335786" w:rsidRPr="00335786" w:rsidRDefault="00335786" w:rsidP="008E14C1">
      <w:pPr>
        <w:rPr>
          <w:lang w:val="en-US"/>
        </w:rPr>
      </w:pPr>
      <w:r w:rsidRPr="00335786">
        <w:t>Pour l’élaboration de cette grille, il fa</w:t>
      </w:r>
      <w:r w:rsidR="008E14C1">
        <w:t>ut</w:t>
      </w:r>
      <w:r w:rsidRPr="00335786">
        <w:t xml:space="preserve"> différencier les villes en plusieurs catégories plus ou moins homogènes. Le critère de base est celui de l’importance de la population qui nous donne une taille de ville.</w:t>
      </w:r>
      <w:r w:rsidR="008E14C1">
        <w:rPr>
          <w:lang w:val="en-US"/>
        </w:rPr>
        <w:t xml:space="preserve"> </w:t>
      </w:r>
      <w:r w:rsidRPr="00335786">
        <w:t xml:space="preserve">En fonction de la taille de la population agglomérée, cinq catégories de villes ont été retenues, dont la ville moyenne définit le type. </w:t>
      </w:r>
    </w:p>
    <w:p w14:paraId="4E32832F" w14:textId="77777777" w:rsidR="00335786" w:rsidRPr="00335786" w:rsidRDefault="00335786" w:rsidP="00335786">
      <w:pPr>
        <w:rPr>
          <w:lang w:val="en-US"/>
        </w:rPr>
      </w:pPr>
      <w:r w:rsidRPr="00335786">
        <w:t>Catégorie de villes</w:t>
      </w:r>
    </w:p>
    <w:p w14:paraId="02DF77F2" w14:textId="77777777" w:rsidR="00335786" w:rsidRPr="00335786" w:rsidRDefault="00335786" w:rsidP="008E14C1">
      <w:pPr>
        <w:rPr>
          <w:lang w:val="en-US"/>
        </w:rPr>
      </w:pPr>
      <w:r w:rsidRPr="00335786">
        <w:t xml:space="preserve">Il s’applique aux unités urbaines, et aux villes. A partir d’un certain niveau, les unités et les villes </w:t>
      </w:r>
      <w:r w:rsidR="008E14C1">
        <w:t xml:space="preserve">convergent </w:t>
      </w:r>
      <w:r w:rsidRPr="00335786">
        <w:t xml:space="preserve">à des degrés divers </w:t>
      </w:r>
      <w:r w:rsidR="008E14C1">
        <w:t xml:space="preserve">vers </w:t>
      </w:r>
      <w:r w:rsidRPr="00335786">
        <w:t>un pôle central, mesur</w:t>
      </w:r>
      <w:r w:rsidR="008E14C1" w:rsidRPr="00335786">
        <w:t>é</w:t>
      </w:r>
      <w:r w:rsidRPr="00335786">
        <w:t xml:space="preserve"> par leur rayon d’influence.</w:t>
      </w:r>
    </w:p>
    <w:p w14:paraId="52093888" w14:textId="77777777" w:rsidR="00335786" w:rsidRPr="00335786" w:rsidRDefault="00335786" w:rsidP="00335786">
      <w:pPr>
        <w:rPr>
          <w:lang w:val="en-US"/>
        </w:rPr>
      </w:pPr>
      <w:r w:rsidRPr="00335786">
        <w:t>Ce principe veut que chaque unité – ou que chaque ville de taille supérieure cumule les équipements programmés dans l’unité ou la ville de taille inférieure.</w:t>
      </w:r>
    </w:p>
    <w:p w14:paraId="46CAAD66" w14:textId="77777777" w:rsidR="00335786" w:rsidRPr="00335786" w:rsidRDefault="00335786" w:rsidP="00335786">
      <w:pPr>
        <w:rPr>
          <w:lang w:val="en-US"/>
        </w:rPr>
      </w:pPr>
      <w:r w:rsidRPr="00335786">
        <w:t>Ce principe a pour but d’éviter la séparation entre la fonction de desserte, et la fonction de centre – unités du des villes, faute de quoi les populations résistantes dans les unités ou les agglomérations urbaines qui assurent une fonction de centre devraient se déplacer dans les unités ou les villes qui disposent des équipements de desserte, ce qui déséquilibre l’organisation intra et inter urbaine.</w:t>
      </w:r>
    </w:p>
    <w:p w14:paraId="686AF36D" w14:textId="77777777" w:rsidR="00335786" w:rsidRPr="00335786" w:rsidRDefault="00335786" w:rsidP="00335786">
      <w:pPr>
        <w:rPr>
          <w:lang w:val="en-US"/>
        </w:rPr>
      </w:pPr>
      <w:r w:rsidRPr="00335786">
        <w:t>1. Comment utiliser les grilles théoriques d’équipement et les schémas de structuration urbaine.</w:t>
      </w:r>
    </w:p>
    <w:p w14:paraId="6A09807A" w14:textId="77777777" w:rsidR="00335786" w:rsidRPr="00335786" w:rsidRDefault="008E14C1" w:rsidP="00335786">
      <w:pPr>
        <w:rPr>
          <w:lang w:val="en-US"/>
        </w:rPr>
      </w:pPr>
      <w:r>
        <w:t xml:space="preserve">- </w:t>
      </w:r>
      <w:r w:rsidRPr="00335786">
        <w:t>Évolution</w:t>
      </w:r>
      <w:r w:rsidR="00335786" w:rsidRPr="00335786">
        <w:t xml:space="preserve"> des ratios</w:t>
      </w:r>
    </w:p>
    <w:p w14:paraId="0992A709" w14:textId="77777777" w:rsidR="00335786" w:rsidRPr="008E14C1" w:rsidRDefault="008E14C1" w:rsidP="008E14C1">
      <w:r>
        <w:t xml:space="preserve">- </w:t>
      </w:r>
      <w:r w:rsidRPr="00335786">
        <w:t>Selon</w:t>
      </w:r>
      <w:r w:rsidR="00335786" w:rsidRPr="00335786">
        <w:t xml:space="preserve"> le type de ville</w:t>
      </w:r>
    </w:p>
    <w:p w14:paraId="5A1EA829" w14:textId="77777777" w:rsidR="008E14C1" w:rsidRDefault="008E14C1" w:rsidP="00335786">
      <w:r>
        <w:t xml:space="preserve">- </w:t>
      </w:r>
      <w:r w:rsidRPr="00335786">
        <w:t>Selon</w:t>
      </w:r>
      <w:r>
        <w:t xml:space="preserve"> le type d’équipement</w:t>
      </w:r>
    </w:p>
    <w:p w14:paraId="652606F5" w14:textId="77777777" w:rsidR="00335786" w:rsidRPr="00251E19" w:rsidRDefault="00335786" w:rsidP="00335786">
      <w:r w:rsidRPr="00335786">
        <w:lastRenderedPageBreak/>
        <w:t>La recommandation générale sera une souplesse constante dans l’application des ratios et des schémas, qui ne sont qu’indicatifs du principe de répartition et des articulations des unités urbaines.</w:t>
      </w:r>
    </w:p>
    <w:p w14:paraId="7EE5CB94" w14:textId="77777777" w:rsidR="00335786" w:rsidRPr="00251E19" w:rsidRDefault="00335786" w:rsidP="00335786">
      <w:proofErr w:type="gramStart"/>
      <w:r w:rsidRPr="00335786">
        <w:t>les</w:t>
      </w:r>
      <w:proofErr w:type="gramEnd"/>
      <w:r w:rsidRPr="00335786">
        <w:t xml:space="preserve"> grilles théoriques et les schémas théoriques s’appliquant différemment selon le type de tissu à traiter :</w:t>
      </w:r>
    </w:p>
    <w:p w14:paraId="50BFE028" w14:textId="77777777" w:rsidR="00335786" w:rsidRPr="00335786" w:rsidRDefault="00335786" w:rsidP="00335786">
      <w:pPr>
        <w:rPr>
          <w:lang w:val="en-US"/>
        </w:rPr>
      </w:pPr>
      <w:r w:rsidRPr="00335786">
        <w:t>Centre de santé</w:t>
      </w:r>
    </w:p>
    <w:p w14:paraId="6C072DE1" w14:textId="77777777" w:rsidR="00335786" w:rsidRPr="00335786" w:rsidRDefault="00335786" w:rsidP="00335786">
      <w:pPr>
        <w:rPr>
          <w:lang w:val="en-US"/>
        </w:rPr>
      </w:pPr>
      <w:r w:rsidRPr="00335786">
        <w:t>Polyclinique</w:t>
      </w:r>
    </w:p>
    <w:p w14:paraId="6A77F849" w14:textId="77777777" w:rsidR="00335786" w:rsidRPr="00335786" w:rsidRDefault="00335786" w:rsidP="00335786">
      <w:pPr>
        <w:rPr>
          <w:lang w:val="en-US"/>
        </w:rPr>
      </w:pPr>
      <w:r w:rsidRPr="00335786">
        <w:t>Hôpital</w:t>
      </w:r>
    </w:p>
    <w:p w14:paraId="177D09EC" w14:textId="77777777" w:rsidR="00335786" w:rsidRPr="00335786" w:rsidRDefault="00335786" w:rsidP="00335786">
      <w:pPr>
        <w:rPr>
          <w:lang w:val="en-US"/>
        </w:rPr>
      </w:pPr>
      <w:r w:rsidRPr="00335786">
        <w:t>Centre d'une unité de voisinage</w:t>
      </w:r>
    </w:p>
    <w:p w14:paraId="32F270D0" w14:textId="77777777" w:rsidR="00335786" w:rsidRPr="00335786" w:rsidRDefault="00335786" w:rsidP="00335786">
      <w:pPr>
        <w:rPr>
          <w:lang w:val="en-US"/>
        </w:rPr>
      </w:pPr>
      <w:r w:rsidRPr="00335786">
        <w:t>La grille des équipements</w:t>
      </w:r>
      <w:r>
        <w:t> :</w:t>
      </w:r>
    </w:p>
    <w:p w14:paraId="19DE9962" w14:textId="77777777" w:rsidR="00335786" w:rsidRPr="00335786" w:rsidRDefault="00335786" w:rsidP="00335786">
      <w:pPr>
        <w:rPr>
          <w:lang w:val="en-US"/>
        </w:rPr>
      </w:pPr>
      <w:r w:rsidRPr="00335786">
        <w:t>Principes d’élaboration</w:t>
      </w:r>
      <w:r>
        <w:t> :</w:t>
      </w:r>
    </w:p>
    <w:p w14:paraId="0BAEF276" w14:textId="77777777" w:rsidR="00335786" w:rsidRPr="00251E19" w:rsidRDefault="00335786" w:rsidP="00335786">
      <w:r w:rsidRPr="00335786">
        <w:t xml:space="preserve">Comment utiliser les grilles théoriques d’équipement et les schémas de structuration </w:t>
      </w:r>
      <w:proofErr w:type="gramStart"/>
      <w:r w:rsidRPr="00335786">
        <w:t>urbaine</w:t>
      </w:r>
      <w:r>
        <w:t> ?</w:t>
      </w:r>
      <w:r w:rsidRPr="00335786">
        <w:t>.</w:t>
      </w:r>
      <w:proofErr w:type="gramEnd"/>
    </w:p>
    <w:p w14:paraId="519852A3" w14:textId="77777777" w:rsidR="00335786" w:rsidRPr="00335786" w:rsidRDefault="00335786" w:rsidP="00335786">
      <w:pPr>
        <w:pStyle w:val="Paragraphedeliste"/>
        <w:numPr>
          <w:ilvl w:val="0"/>
          <w:numId w:val="1"/>
        </w:numPr>
        <w:rPr>
          <w:lang w:val="en-US"/>
        </w:rPr>
      </w:pPr>
      <w:r w:rsidRPr="00335786">
        <w:t>Méthodologie de l’étude.</w:t>
      </w:r>
    </w:p>
    <w:p w14:paraId="5BA712C7" w14:textId="77777777" w:rsidR="00335786" w:rsidRPr="00335786" w:rsidRDefault="00335786" w:rsidP="00335786">
      <w:pPr>
        <w:pStyle w:val="Paragraphedeliste"/>
        <w:numPr>
          <w:ilvl w:val="0"/>
          <w:numId w:val="1"/>
        </w:numPr>
        <w:rPr>
          <w:lang w:val="en-US"/>
        </w:rPr>
      </w:pPr>
      <w:r w:rsidRPr="00335786">
        <w:t>Principe de hiérarchie et de cumul.</w:t>
      </w:r>
    </w:p>
    <w:p w14:paraId="338834C9" w14:textId="77777777" w:rsidR="00335786" w:rsidRPr="00335786" w:rsidRDefault="00335786" w:rsidP="00335786">
      <w:pPr>
        <w:pStyle w:val="Paragraphedeliste"/>
        <w:numPr>
          <w:ilvl w:val="0"/>
          <w:numId w:val="1"/>
        </w:numPr>
        <w:rPr>
          <w:lang w:val="en-US"/>
        </w:rPr>
      </w:pPr>
      <w:r w:rsidRPr="00335786">
        <w:t>Catégorie de villes.</w:t>
      </w:r>
    </w:p>
    <w:p w14:paraId="0B5DCA5B" w14:textId="77777777" w:rsidR="00335786" w:rsidRPr="00335786" w:rsidRDefault="00335786" w:rsidP="00335786">
      <w:pPr>
        <w:rPr>
          <w:lang w:val="en-US"/>
        </w:rPr>
      </w:pPr>
      <w:r w:rsidRPr="00335786">
        <w:t>Bases et hypothèses de travail</w:t>
      </w:r>
      <w:r>
        <w:t> :</w:t>
      </w:r>
    </w:p>
    <w:p w14:paraId="2828B58A" w14:textId="77777777" w:rsidR="00335786" w:rsidRPr="00335786" w:rsidRDefault="00335786" w:rsidP="00335786">
      <w:pPr>
        <w:rPr>
          <w:lang w:val="en-US"/>
        </w:rPr>
      </w:pPr>
      <w:r w:rsidRPr="00335786">
        <w:t>Elle vise à répondre aux interrogations touchant aux aspects suivants :</w:t>
      </w:r>
    </w:p>
    <w:p w14:paraId="3CC9369D" w14:textId="77777777" w:rsidR="00335786" w:rsidRPr="00335786" w:rsidRDefault="00335786" w:rsidP="00335786">
      <w:pPr>
        <w:rPr>
          <w:lang w:val="en-US"/>
        </w:rPr>
      </w:pPr>
      <w:r w:rsidRPr="00335786">
        <w:t>*La profession</w:t>
      </w:r>
      <w:r>
        <w:t xml:space="preserve"> </w:t>
      </w:r>
      <w:r w:rsidRPr="00335786">
        <w:t>de la programmation suppose une autonomiste préalable de cette activité dans le processus général de production du cadre bâti.</w:t>
      </w:r>
    </w:p>
    <w:p w14:paraId="0E4109D1" w14:textId="77777777" w:rsidR="00335786" w:rsidRPr="00251E19" w:rsidRDefault="00335786" w:rsidP="00335786">
      <w:r>
        <w:t>Elle est basée sur</w:t>
      </w:r>
      <w:r w:rsidRPr="00335786">
        <w:t xml:space="preserve"> le principe de programmation dans l'histoire </w:t>
      </w:r>
      <w:r>
        <w:t xml:space="preserve">et pour </w:t>
      </w:r>
      <w:proofErr w:type="gramStart"/>
      <w:r>
        <w:t>le future</w:t>
      </w:r>
      <w:proofErr w:type="gramEnd"/>
      <w:r>
        <w:t xml:space="preserve">, sur </w:t>
      </w:r>
      <w:r w:rsidRPr="00335786">
        <w:t xml:space="preserve">des idées et des pratiques </w:t>
      </w:r>
      <w:r>
        <w:t>en architecture et en urbanisme.</w:t>
      </w:r>
    </w:p>
    <w:p w14:paraId="7022562A" w14:textId="77777777" w:rsidR="00335786" w:rsidRPr="00335786" w:rsidRDefault="00335786" w:rsidP="00335786">
      <w:pPr>
        <w:rPr>
          <w:lang w:val="en-US"/>
        </w:rPr>
      </w:pPr>
      <w:r w:rsidRPr="00335786">
        <w:t>L'hypothèque faite ici, est que ces pratiques et représentations sont principalement organisées autour de deux logiques non exclusives : l'une "technicité", assimilant la programmation à la collecte et au traitement d'information en vue de leur formalisation dans un cahier des charges destiné au maître d'œuvre ;</w:t>
      </w:r>
      <w:r>
        <w:rPr>
          <w:lang w:val="en-US"/>
        </w:rPr>
        <w:t xml:space="preserve"> </w:t>
      </w:r>
      <w:r w:rsidRPr="00335786">
        <w:t>l'autre plus globale et "managériale " d'identification et de résolutions de problèmes considérés comme non définis a priori, se construisant au cours d'échanges et de négociations entre acteurs tout au long du processus de projet.</w:t>
      </w:r>
    </w:p>
    <w:p w14:paraId="70506EC8" w14:textId="77777777" w:rsidR="00335786" w:rsidRPr="00335786" w:rsidRDefault="00335786" w:rsidP="00335786">
      <w:pPr>
        <w:rPr>
          <w:lang w:val="en-US"/>
        </w:rPr>
      </w:pPr>
      <w:r w:rsidRPr="00335786">
        <w:t>*Les caractéristiques des structures et des individus déclarant avoir une activité de programmation. Faisant l'hypothèque d'une hétérogénéité importante de cette population,</w:t>
      </w:r>
    </w:p>
    <w:p w14:paraId="58B6F3A7" w14:textId="77777777" w:rsidR="00335786" w:rsidRPr="00335786" w:rsidRDefault="00335786" w:rsidP="00335786">
      <w:pPr>
        <w:rPr>
          <w:lang w:val="en-US"/>
        </w:rPr>
      </w:pPr>
      <w:r w:rsidRPr="00335786">
        <w:t>Méthode</w:t>
      </w:r>
      <w:r w:rsidR="00534283">
        <w:t xml:space="preserve"> d’élaboration de la grille théorique des équipements</w:t>
      </w:r>
      <w:r w:rsidRPr="00335786">
        <w:t xml:space="preserve"> :</w:t>
      </w:r>
    </w:p>
    <w:p w14:paraId="7DAE3763" w14:textId="77777777" w:rsidR="00335786" w:rsidRPr="00335786" w:rsidRDefault="00335786" w:rsidP="00534283">
      <w:pPr>
        <w:rPr>
          <w:lang w:val="en-US"/>
        </w:rPr>
      </w:pPr>
      <w:r w:rsidRPr="00335786">
        <w:t>Pour répondre à ces interrogations et apprécier la portée de ces hypothèses, deux</w:t>
      </w:r>
      <w:r w:rsidR="00534283">
        <w:rPr>
          <w:lang w:val="en-US"/>
        </w:rPr>
        <w:t xml:space="preserve"> </w:t>
      </w:r>
      <w:r w:rsidRPr="00335786">
        <w:t>approches ont été combinée :</w:t>
      </w:r>
    </w:p>
    <w:p w14:paraId="1F8FDC7C" w14:textId="77777777" w:rsidR="00335786" w:rsidRPr="00534283" w:rsidRDefault="00534283" w:rsidP="00534283">
      <w:pPr>
        <w:pStyle w:val="Paragraphedeliste"/>
        <w:numPr>
          <w:ilvl w:val="0"/>
          <w:numId w:val="1"/>
        </w:numPr>
        <w:rPr>
          <w:lang w:val="en-US"/>
        </w:rPr>
      </w:pPr>
      <w:r w:rsidRPr="00335786">
        <w:lastRenderedPageBreak/>
        <w:t>S</w:t>
      </w:r>
      <w:r w:rsidR="00335786" w:rsidRPr="00335786">
        <w:t>ociologique</w:t>
      </w:r>
      <w:r w:rsidRPr="00534283">
        <w:rPr>
          <w:lang w:val="en-US"/>
        </w:rPr>
        <w:t xml:space="preserve"> </w:t>
      </w:r>
      <w:r w:rsidR="00335786" w:rsidRPr="00335786">
        <w:t>historique "généalogique "</w:t>
      </w:r>
    </w:p>
    <w:p w14:paraId="6D0A3CEA" w14:textId="77777777" w:rsidR="00534283" w:rsidRPr="00534283" w:rsidRDefault="00534283" w:rsidP="00534283">
      <w:pPr>
        <w:pStyle w:val="Paragraphedeliste"/>
        <w:numPr>
          <w:ilvl w:val="0"/>
          <w:numId w:val="1"/>
        </w:numPr>
        <w:rPr>
          <w:lang w:val="en-US"/>
        </w:rPr>
      </w:pPr>
      <w:r>
        <w:t xml:space="preserve">Technique et statistique. </w:t>
      </w:r>
    </w:p>
    <w:p w14:paraId="3CCFBBDE" w14:textId="77777777" w:rsidR="00335786" w:rsidRPr="00335786" w:rsidRDefault="00335786" w:rsidP="00335786">
      <w:pPr>
        <w:rPr>
          <w:lang w:val="en-US"/>
        </w:rPr>
      </w:pPr>
      <w:r w:rsidRPr="00335786">
        <w:t>Dans la ville moderne, les besoins sont quantifiés et recensés.</w:t>
      </w:r>
    </w:p>
    <w:p w14:paraId="08670BFE" w14:textId="77777777" w:rsidR="00335786" w:rsidRPr="00335786" w:rsidRDefault="00335786" w:rsidP="00335786">
      <w:pPr>
        <w:rPr>
          <w:lang w:val="en-US"/>
        </w:rPr>
      </w:pPr>
      <w:r w:rsidRPr="00335786">
        <w:t>La programmation et la planification urbaine est perçue comme une normalisation de l’existence humaine en accord avec les quatre fonctions clés : habiter, travailler, circuler, se recréer.</w:t>
      </w:r>
    </w:p>
    <w:p w14:paraId="7443C8AA" w14:textId="77777777" w:rsidR="00335786" w:rsidRPr="00335786" w:rsidRDefault="00335786" w:rsidP="00335786">
      <w:pPr>
        <w:rPr>
          <w:lang w:val="en-US"/>
        </w:rPr>
      </w:pPr>
      <w:r w:rsidRPr="00335786">
        <w:t>Cette manière d’aborder la ville et plus particulièrement l’acte urbain trouve son corollaire dans la standardisation des besoins quantifiables énoncés et préétablis dans la grille d’équipements qui vient à s’imposer en tant qu’instrument d’urbanisme.</w:t>
      </w:r>
    </w:p>
    <w:p w14:paraId="67762734" w14:textId="77777777" w:rsidR="00335786" w:rsidRPr="00335786" w:rsidRDefault="00335786" w:rsidP="00335786">
      <w:pPr>
        <w:rPr>
          <w:lang w:val="en-US"/>
        </w:rPr>
      </w:pPr>
      <w:r w:rsidRPr="00335786">
        <w:t>Dans les grands ensembles et les urbanisations nouvelles, la vie collective de la rue a disparu pour se réfugier dans les grands centres commerciaux. Ces cités étaient effectivement devenues « des cités dortoirs » sans rues, ni artisanat, ni marchants etc…</w:t>
      </w:r>
    </w:p>
    <w:p w14:paraId="3ACAE310" w14:textId="77777777" w:rsidR="00335786" w:rsidRPr="00251E19" w:rsidRDefault="00335786" w:rsidP="00335786">
      <w:proofErr w:type="gramStart"/>
      <w:r w:rsidRPr="00335786">
        <w:t>a</w:t>
      </w:r>
      <w:proofErr w:type="gramEnd"/>
      <w:r w:rsidRPr="00335786">
        <w:t xml:space="preserve"> pour objectif d'appréhender et de comprendre les modes de structuration du « groupe » des professionnels de la programmation ainsi que les formes de savoirs et savoir-faire valorisées par ces derniers.</w:t>
      </w:r>
    </w:p>
    <w:p w14:paraId="1475A93E" w14:textId="77777777" w:rsidR="00335786" w:rsidRPr="00335786" w:rsidRDefault="00335786" w:rsidP="00534283">
      <w:pPr>
        <w:rPr>
          <w:lang w:val="en-US"/>
        </w:rPr>
      </w:pPr>
      <w:r w:rsidRPr="00335786">
        <w:t>Compte tenu du peu d'études consacrées à</w:t>
      </w:r>
      <w:r>
        <w:t xml:space="preserve"> la </w:t>
      </w:r>
      <w:r w:rsidRPr="00335786">
        <w:t>population et à s</w:t>
      </w:r>
      <w:r>
        <w:t>es</w:t>
      </w:r>
      <w:r w:rsidRPr="00335786">
        <w:t xml:space="preserve"> activité</w:t>
      </w:r>
      <w:r>
        <w:t>s</w:t>
      </w:r>
      <w:r w:rsidRPr="00335786">
        <w:t>,</w:t>
      </w:r>
      <w:r w:rsidR="00534283">
        <w:t xml:space="preserve"> les </w:t>
      </w:r>
      <w:r>
        <w:rPr>
          <w:lang w:val="en-US"/>
        </w:rPr>
        <w:t xml:space="preserve"> </w:t>
      </w:r>
      <w:r w:rsidRPr="00335786">
        <w:t>différents dispositifs d'enquête ont été appliqués auprès de maîtres d'ouvrage et</w:t>
      </w:r>
      <w:r>
        <w:rPr>
          <w:lang w:val="en-US"/>
        </w:rPr>
        <w:t xml:space="preserve"> </w:t>
      </w:r>
      <w:r w:rsidRPr="00335786">
        <w:t xml:space="preserve">d'assistants à maîtres d'ouvrage </w:t>
      </w:r>
      <w:r w:rsidR="00534283">
        <w:t xml:space="preserve">(ONS, les finances, experts fonciers,…etc.) qui sont des </w:t>
      </w:r>
      <w:r w:rsidRPr="00335786">
        <w:t>commanditaires potentiels de prestations de</w:t>
      </w:r>
      <w:r>
        <w:rPr>
          <w:lang w:val="en-US"/>
        </w:rPr>
        <w:t xml:space="preserve"> </w:t>
      </w:r>
      <w:r w:rsidRPr="00335786">
        <w:t>programmation, auprès de professionnels ayant une activité de programmation</w:t>
      </w:r>
      <w:r w:rsidR="00534283">
        <w:rPr>
          <w:lang w:val="en-US"/>
        </w:rPr>
        <w:t xml:space="preserve"> </w:t>
      </w:r>
      <w:r w:rsidRPr="00335786">
        <w:t>déclarée</w:t>
      </w:r>
      <w:r w:rsidR="00534283">
        <w:t>s</w:t>
      </w:r>
      <w:r w:rsidRPr="00335786">
        <w:t xml:space="preserve"> ou pressentie</w:t>
      </w:r>
      <w:r w:rsidR="00534283">
        <w:t>s</w:t>
      </w:r>
      <w:r w:rsidRPr="00335786">
        <w:t>.</w:t>
      </w:r>
    </w:p>
    <w:p w14:paraId="00EA6D7E" w14:textId="77777777" w:rsidR="00335786" w:rsidRPr="00335786" w:rsidRDefault="00335786" w:rsidP="00534283">
      <w:pPr>
        <w:rPr>
          <w:lang w:val="en-US"/>
        </w:rPr>
      </w:pPr>
      <w:r w:rsidRPr="00335786">
        <w:t>Les enquêtes par questionnaires ont permis de construire, à partir d'analyses</w:t>
      </w:r>
      <w:r w:rsidR="00534283">
        <w:rPr>
          <w:lang w:val="en-US"/>
        </w:rPr>
        <w:t xml:space="preserve"> </w:t>
      </w:r>
      <w:r w:rsidRPr="00335786">
        <w:t>multidimensionnelles, des typologies de profils socioprofessionnels d'une</w:t>
      </w:r>
      <w:r w:rsidR="00534283">
        <w:rPr>
          <w:lang w:val="en-US"/>
        </w:rPr>
        <w:t xml:space="preserve"> </w:t>
      </w:r>
      <w:r w:rsidRPr="00335786">
        <w:t>part, et de pratiques et représentations associées à la programmation d'autre part.</w:t>
      </w:r>
    </w:p>
    <w:p w14:paraId="3C773691" w14:textId="77777777" w:rsidR="00335786" w:rsidRPr="00335786" w:rsidRDefault="00335786" w:rsidP="00534283">
      <w:pPr>
        <w:rPr>
          <w:lang w:val="en-US"/>
        </w:rPr>
      </w:pPr>
      <w:r w:rsidRPr="00335786">
        <w:t xml:space="preserve">Elles </w:t>
      </w:r>
      <w:r w:rsidR="00534283">
        <w:t>seront</w:t>
      </w:r>
      <w:r w:rsidRPr="00335786">
        <w:t xml:space="preserve"> associées au cours du processus de recherche, à des entretiens visant</w:t>
      </w:r>
      <w:r w:rsidR="00534283">
        <w:rPr>
          <w:lang w:val="en-US"/>
        </w:rPr>
        <w:t xml:space="preserve"> </w:t>
      </w:r>
      <w:r w:rsidRPr="00335786">
        <w:t>à vérifier certaines hypothèses et à enrichir les typologies élaborées en explorant des</w:t>
      </w:r>
      <w:r w:rsidR="00534283">
        <w:rPr>
          <w:lang w:val="en-US"/>
        </w:rPr>
        <w:t xml:space="preserve"> </w:t>
      </w:r>
      <w:r w:rsidRPr="00335786">
        <w:t xml:space="preserve">dimensions difficiles </w:t>
      </w:r>
      <w:r w:rsidR="00534283">
        <w:t xml:space="preserve">à appréhender par questionnaire a fin de </w:t>
      </w:r>
      <w:r w:rsidRPr="00335786">
        <w:t xml:space="preserve">consisté à repérer dans l'histoire des idées et des pratiques de </w:t>
      </w:r>
      <w:r w:rsidR="00534283">
        <w:t>l’</w:t>
      </w:r>
      <w:r w:rsidRPr="00335786">
        <w:t>urbanisme et de l'architecture, des moments et évènements clés susceptibles d'expliquer les conditions actuelles</w:t>
      </w:r>
      <w:r w:rsidR="00534283">
        <w:t xml:space="preserve"> pour</w:t>
      </w:r>
      <w:r w:rsidRPr="00335786">
        <w:t xml:space="preserve"> l'exercice de la programmation en</w:t>
      </w:r>
      <w:r w:rsidR="00534283">
        <w:t xml:space="preserve"> Algérie</w:t>
      </w:r>
      <w:r w:rsidRPr="00335786">
        <w:t xml:space="preserve"> ainsi que les représentations relatives à cette fonction dans les processus de production du cadre bâti.</w:t>
      </w:r>
    </w:p>
    <w:p w14:paraId="44753091" w14:textId="77777777" w:rsidR="00BB0AF0" w:rsidRDefault="00BB0AF0"/>
    <w:sectPr w:rsidR="00BB0A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01B65"/>
    <w:multiLevelType w:val="hybridMultilevel"/>
    <w:tmpl w:val="6948797A"/>
    <w:lvl w:ilvl="0" w:tplc="3106049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3618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786"/>
    <w:rsid w:val="00113B6A"/>
    <w:rsid w:val="00117E2D"/>
    <w:rsid w:val="00251E19"/>
    <w:rsid w:val="0031240A"/>
    <w:rsid w:val="00334E26"/>
    <w:rsid w:val="00335786"/>
    <w:rsid w:val="00534283"/>
    <w:rsid w:val="008E14C1"/>
    <w:rsid w:val="008F34A6"/>
    <w:rsid w:val="00A52050"/>
    <w:rsid w:val="00B85B49"/>
    <w:rsid w:val="00BB0AF0"/>
    <w:rsid w:val="00D224DD"/>
    <w:rsid w:val="00E22CFE"/>
    <w:rsid w:val="00E613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BB7E4"/>
  <w15:docId w15:val="{E234EA57-E9DE-431A-B130-764706827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357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05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884</Words>
  <Characters>5041</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c:creator>
  <cp:lastModifiedBy>pc</cp:lastModifiedBy>
  <cp:revision>2</cp:revision>
  <dcterms:created xsi:type="dcterms:W3CDTF">2025-12-01T19:42:00Z</dcterms:created>
  <dcterms:modified xsi:type="dcterms:W3CDTF">2025-12-01T19:42:00Z</dcterms:modified>
</cp:coreProperties>
</file>